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581"/>
        <w:tblW w:w="9233" w:type="dxa"/>
        <w:tblBorders>
          <w:top w:val="single" w:sz="18" w:space="0" w:color="0070C0"/>
          <w:bottom w:val="single" w:sz="18" w:space="0" w:color="0070C0"/>
        </w:tblBorders>
        <w:tblLook w:val="04A0" w:firstRow="1" w:lastRow="0" w:firstColumn="1" w:lastColumn="0" w:noHBand="0" w:noVBand="1"/>
      </w:tblPr>
      <w:tblGrid>
        <w:gridCol w:w="2127"/>
        <w:gridCol w:w="5420"/>
        <w:gridCol w:w="1686"/>
      </w:tblGrid>
      <w:tr w:rsidR="00D30904" w:rsidRPr="008E4F26" w14:paraId="3A58F9F4" w14:textId="77777777" w:rsidTr="00D30904">
        <w:trPr>
          <w:trHeight w:val="1070"/>
        </w:trPr>
        <w:tc>
          <w:tcPr>
            <w:tcW w:w="2127" w:type="dxa"/>
          </w:tcPr>
          <w:p w14:paraId="671EE9CC" w14:textId="77777777" w:rsidR="00D30904" w:rsidRPr="008E4F26" w:rsidRDefault="00D30904" w:rsidP="00D30904">
            <w:pPr>
              <w:tabs>
                <w:tab w:val="left" w:pos="9356"/>
              </w:tabs>
              <w:spacing w:after="0" w:line="240" w:lineRule="auto"/>
              <w:rPr>
                <w:rFonts w:asciiTheme="minorBidi" w:eastAsia="AdvGulliv-R" w:hAnsiTheme="minorBidi"/>
                <w:iCs/>
                <w:sz w:val="18"/>
                <w:szCs w:val="18"/>
                <w:lang w:val="en-GB"/>
              </w:rPr>
            </w:pPr>
            <w:r w:rsidRPr="008E4F26">
              <w:rPr>
                <w:rFonts w:asciiTheme="majorBidi" w:eastAsia="AdvGulliv-R" w:hAnsiTheme="majorBidi" w:cstheme="majorBidi"/>
                <w:iCs/>
                <w:noProof/>
                <w:sz w:val="18"/>
                <w:szCs w:val="18"/>
              </w:rPr>
              <w:drawing>
                <wp:anchor distT="0" distB="0" distL="114300" distR="114300" simplePos="0" relativeHeight="251664384" behindDoc="0" locked="0" layoutInCell="1" allowOverlap="1" wp14:anchorId="0279D61E" wp14:editId="60503116">
                  <wp:simplePos x="0" y="0"/>
                  <wp:positionH relativeFrom="column">
                    <wp:posOffset>-4702</wp:posOffset>
                  </wp:positionH>
                  <wp:positionV relativeFrom="paragraph">
                    <wp:posOffset>31533</wp:posOffset>
                  </wp:positionV>
                  <wp:extent cx="1152950" cy="1062138"/>
                  <wp:effectExtent l="0" t="0" r="0" b="508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BSEH Logo (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2950" cy="1062138"/>
                          </a:xfrm>
                          <a:prstGeom prst="rect">
                            <a:avLst/>
                          </a:prstGeom>
                        </pic:spPr>
                      </pic:pic>
                    </a:graphicData>
                  </a:graphic>
                  <wp14:sizeRelH relativeFrom="page">
                    <wp14:pctWidth>0</wp14:pctWidth>
                  </wp14:sizeRelH>
                  <wp14:sizeRelV relativeFrom="page">
                    <wp14:pctHeight>0</wp14:pctHeight>
                  </wp14:sizeRelV>
                </wp:anchor>
              </w:drawing>
            </w:r>
          </w:p>
          <w:p w14:paraId="27FC2541" w14:textId="77777777" w:rsidR="00D30904" w:rsidRPr="008E4F26" w:rsidRDefault="00D30904" w:rsidP="00D30904">
            <w:pPr>
              <w:tabs>
                <w:tab w:val="left" w:pos="9356"/>
              </w:tabs>
              <w:spacing w:after="0" w:line="240" w:lineRule="auto"/>
              <w:ind w:right="34"/>
              <w:jc w:val="center"/>
              <w:rPr>
                <w:rFonts w:asciiTheme="majorBidi" w:eastAsia="AdvGulliv-R" w:hAnsiTheme="majorBidi" w:cstheme="majorBidi"/>
                <w:iCs/>
                <w:sz w:val="16"/>
                <w:szCs w:val="16"/>
                <w:lang w:val="en-GB"/>
              </w:rPr>
            </w:pPr>
          </w:p>
          <w:p w14:paraId="0F2E08E8" w14:textId="77777777" w:rsidR="00D30904" w:rsidRDefault="00D30904" w:rsidP="00D30904">
            <w:pPr>
              <w:tabs>
                <w:tab w:val="left" w:pos="9356"/>
              </w:tabs>
              <w:spacing w:after="0" w:line="240" w:lineRule="auto"/>
              <w:ind w:right="35"/>
              <w:jc w:val="center"/>
              <w:rPr>
                <w:rFonts w:ascii="Arial" w:hAnsi="Arial"/>
                <w:bCs/>
                <w:sz w:val="16"/>
                <w:szCs w:val="16"/>
                <w:lang w:val="en-GB"/>
              </w:rPr>
            </w:pPr>
          </w:p>
          <w:p w14:paraId="74185B09" w14:textId="77777777" w:rsidR="00D30904" w:rsidRDefault="00D30904" w:rsidP="00D30904">
            <w:pPr>
              <w:tabs>
                <w:tab w:val="left" w:pos="9356"/>
              </w:tabs>
              <w:spacing w:after="0" w:line="240" w:lineRule="auto"/>
              <w:ind w:right="35"/>
              <w:jc w:val="center"/>
              <w:rPr>
                <w:rFonts w:ascii="Arial" w:hAnsi="Arial"/>
                <w:bCs/>
                <w:sz w:val="16"/>
                <w:szCs w:val="16"/>
                <w:lang w:val="en-GB"/>
              </w:rPr>
            </w:pPr>
          </w:p>
          <w:p w14:paraId="65694F4B" w14:textId="77777777" w:rsidR="00D30904" w:rsidRDefault="00D30904" w:rsidP="00D30904">
            <w:pPr>
              <w:tabs>
                <w:tab w:val="left" w:pos="9356"/>
              </w:tabs>
              <w:spacing w:after="0" w:line="240" w:lineRule="auto"/>
              <w:ind w:right="35"/>
              <w:jc w:val="center"/>
              <w:rPr>
                <w:rFonts w:ascii="Arial" w:hAnsi="Arial"/>
                <w:bCs/>
                <w:sz w:val="16"/>
                <w:szCs w:val="16"/>
                <w:lang w:val="en-GB"/>
              </w:rPr>
            </w:pPr>
          </w:p>
          <w:p w14:paraId="1413E729" w14:textId="77777777" w:rsidR="00D30904" w:rsidRDefault="00D30904" w:rsidP="00D30904">
            <w:pPr>
              <w:tabs>
                <w:tab w:val="left" w:pos="9356"/>
              </w:tabs>
              <w:spacing w:after="0" w:line="240" w:lineRule="auto"/>
              <w:ind w:right="35"/>
              <w:jc w:val="center"/>
              <w:rPr>
                <w:rFonts w:ascii="Arial" w:hAnsi="Arial"/>
                <w:bCs/>
                <w:sz w:val="16"/>
                <w:szCs w:val="16"/>
                <w:lang w:val="en-GB"/>
              </w:rPr>
            </w:pPr>
          </w:p>
          <w:p w14:paraId="5A97CD7C" w14:textId="77777777" w:rsidR="00D30904" w:rsidRDefault="00D30904" w:rsidP="00D30904">
            <w:pPr>
              <w:tabs>
                <w:tab w:val="left" w:pos="9356"/>
              </w:tabs>
              <w:spacing w:after="0" w:line="240" w:lineRule="auto"/>
              <w:ind w:right="35"/>
              <w:jc w:val="center"/>
              <w:rPr>
                <w:rFonts w:ascii="Arial" w:hAnsi="Arial"/>
                <w:bCs/>
                <w:sz w:val="16"/>
                <w:szCs w:val="16"/>
                <w:lang w:val="en-GB"/>
              </w:rPr>
            </w:pPr>
          </w:p>
          <w:p w14:paraId="483CECB4" w14:textId="56248AFD" w:rsidR="00D30904" w:rsidRPr="008E4F26" w:rsidRDefault="00D30904" w:rsidP="00F7739E">
            <w:pPr>
              <w:tabs>
                <w:tab w:val="left" w:pos="9356"/>
              </w:tabs>
              <w:spacing w:after="0" w:line="240" w:lineRule="auto"/>
              <w:ind w:right="35"/>
              <w:rPr>
                <w:rFonts w:ascii="Arial" w:hAnsi="Arial"/>
                <w:bCs/>
                <w:sz w:val="16"/>
                <w:szCs w:val="16"/>
                <w:lang w:val="en-GB"/>
              </w:rPr>
            </w:pPr>
          </w:p>
        </w:tc>
        <w:tc>
          <w:tcPr>
            <w:tcW w:w="5420" w:type="dxa"/>
          </w:tcPr>
          <w:p w14:paraId="64518FD4" w14:textId="77777777" w:rsidR="00D30904" w:rsidRPr="008E4F26" w:rsidRDefault="00D30904" w:rsidP="00D30904">
            <w:pPr>
              <w:tabs>
                <w:tab w:val="left" w:pos="9356"/>
              </w:tabs>
              <w:spacing w:after="0" w:line="240" w:lineRule="auto"/>
              <w:rPr>
                <w:rFonts w:ascii="Times New Roman" w:hAnsi="Times New Roman"/>
                <w:b/>
                <w:color w:val="002060"/>
                <w:lang w:val="en-GB"/>
              </w:rPr>
            </w:pPr>
          </w:p>
          <w:p w14:paraId="28079B13" w14:textId="77777777" w:rsidR="00D30904" w:rsidRPr="002F2118" w:rsidRDefault="00D30904" w:rsidP="00D30904">
            <w:pPr>
              <w:tabs>
                <w:tab w:val="left" w:pos="9356"/>
              </w:tabs>
              <w:spacing w:before="120" w:after="0" w:line="360" w:lineRule="auto"/>
              <w:ind w:right="11"/>
              <w:jc w:val="center"/>
              <w:rPr>
                <w:rFonts w:asciiTheme="majorBidi" w:eastAsia="AdvGulliv-R" w:hAnsiTheme="majorBidi" w:cstheme="majorBidi"/>
                <w:b/>
                <w:iCs/>
                <w:color w:val="002060"/>
                <w:sz w:val="32"/>
                <w:szCs w:val="32"/>
                <w:lang w:val="en-GB"/>
              </w:rPr>
            </w:pPr>
            <w:r w:rsidRPr="002F2118">
              <w:rPr>
                <w:rFonts w:asciiTheme="majorBidi" w:eastAsia="AdvGulliv-R" w:hAnsiTheme="majorBidi" w:cstheme="majorBidi"/>
                <w:b/>
                <w:iCs/>
                <w:color w:val="002060"/>
                <w:sz w:val="32"/>
                <w:szCs w:val="32"/>
                <w:lang w:val="en-GB"/>
              </w:rPr>
              <w:t>Nat</w:t>
            </w:r>
            <w:r w:rsidRPr="002F2118">
              <w:rPr>
                <w:rFonts w:asciiTheme="majorBidi" w:eastAsia="AdvGulliv-R" w:hAnsiTheme="majorBidi" w:cstheme="majorBidi"/>
                <w:b/>
                <w:iCs/>
                <w:color w:val="002060"/>
                <w:sz w:val="28"/>
                <w:szCs w:val="28"/>
                <w:lang w:val="en-GB"/>
              </w:rPr>
              <w:t>ural Built Social Environment Health</w:t>
            </w:r>
          </w:p>
          <w:p w14:paraId="46D4E053" w14:textId="77777777" w:rsidR="00D30904" w:rsidRPr="002F2118" w:rsidRDefault="00D30904" w:rsidP="00D30904">
            <w:pPr>
              <w:pStyle w:val="Titre2"/>
              <w:tabs>
                <w:tab w:val="left" w:pos="9356"/>
              </w:tabs>
              <w:spacing w:before="0" w:after="120"/>
              <w:jc w:val="center"/>
              <w:textAlignment w:val="baseline"/>
              <w:rPr>
                <w:rFonts w:asciiTheme="majorBidi" w:hAnsiTheme="majorBidi" w:cstheme="majorBidi"/>
                <w:sz w:val="22"/>
                <w:szCs w:val="22"/>
                <w:lang w:val="en-GB"/>
              </w:rPr>
            </w:pPr>
            <w:r w:rsidRPr="002F2118">
              <w:rPr>
                <w:rFonts w:asciiTheme="majorBidi" w:hAnsiTheme="majorBidi" w:cstheme="majorBidi"/>
                <w:sz w:val="22"/>
                <w:szCs w:val="22"/>
                <w:lang w:val="en-GB"/>
              </w:rPr>
              <w:t>ISSN 3085-461X</w:t>
            </w:r>
          </w:p>
          <w:p w14:paraId="6FAEA15F" w14:textId="77777777" w:rsidR="00D30904" w:rsidRPr="002F2118" w:rsidRDefault="00FB1A00" w:rsidP="00D30904">
            <w:pPr>
              <w:tabs>
                <w:tab w:val="left" w:pos="9356"/>
              </w:tabs>
              <w:spacing w:after="0" w:line="360" w:lineRule="auto"/>
              <w:ind w:right="11"/>
              <w:jc w:val="center"/>
              <w:rPr>
                <w:rFonts w:ascii="Times New Roman" w:eastAsia="AdvGulliv-R" w:hAnsi="Times New Roman" w:cs="Times New Roman"/>
                <w:b/>
                <w:bCs/>
                <w:i/>
                <w:iCs/>
                <w:sz w:val="20"/>
                <w:szCs w:val="20"/>
                <w:lang w:val="en-GB"/>
              </w:rPr>
            </w:pPr>
            <w:hyperlink r:id="rId8" w:history="1">
              <w:r w:rsidR="00D30904" w:rsidRPr="002F2118">
                <w:rPr>
                  <w:rStyle w:val="Lienhypertexte"/>
                  <w:rFonts w:asciiTheme="majorBidi" w:eastAsia="AdvGulliv-R" w:hAnsiTheme="majorBidi" w:cstheme="majorBidi"/>
                  <w:iCs/>
                  <w:u w:val="none"/>
                  <w:lang w:val="en-GB"/>
                </w:rPr>
                <w:t>www.nbseh.org</w:t>
              </w:r>
            </w:hyperlink>
          </w:p>
        </w:tc>
        <w:tc>
          <w:tcPr>
            <w:tcW w:w="1686" w:type="dxa"/>
            <w:vAlign w:val="center"/>
          </w:tcPr>
          <w:p w14:paraId="1971B5D2" w14:textId="77777777" w:rsidR="00D30904" w:rsidRPr="008E4F26" w:rsidRDefault="00D30904" w:rsidP="00D30904">
            <w:pPr>
              <w:tabs>
                <w:tab w:val="left" w:pos="9356"/>
              </w:tabs>
              <w:spacing w:after="0" w:line="240" w:lineRule="auto"/>
              <w:jc w:val="center"/>
              <w:rPr>
                <w:rFonts w:asciiTheme="majorBidi" w:eastAsia="AdvGulliv-R" w:hAnsiTheme="majorBidi" w:cstheme="majorBidi"/>
                <w:iCs/>
                <w:sz w:val="18"/>
                <w:szCs w:val="18"/>
                <w:lang w:val="en-GB"/>
              </w:rPr>
            </w:pPr>
            <w:r w:rsidRPr="008E4F26">
              <w:rPr>
                <w:rFonts w:asciiTheme="minorBidi" w:eastAsia="AdvGulliv-R" w:hAnsiTheme="minorBidi" w:cs="Times New Roman"/>
                <w:iCs/>
                <w:noProof/>
                <w:sz w:val="18"/>
                <w:szCs w:val="18"/>
              </w:rPr>
              <mc:AlternateContent>
                <mc:Choice Requires="wps">
                  <w:drawing>
                    <wp:anchor distT="0" distB="0" distL="114300" distR="114300" simplePos="0" relativeHeight="251663360" behindDoc="1" locked="0" layoutInCell="1" allowOverlap="1" wp14:anchorId="0CE61F1F" wp14:editId="73449EA8">
                      <wp:simplePos x="0" y="0"/>
                      <wp:positionH relativeFrom="column">
                        <wp:posOffset>-3546475</wp:posOffset>
                      </wp:positionH>
                      <wp:positionV relativeFrom="paragraph">
                        <wp:posOffset>15875</wp:posOffset>
                      </wp:positionV>
                      <wp:extent cx="3543300" cy="1079500"/>
                      <wp:effectExtent l="0" t="0" r="0" b="635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1079500"/>
                              </a:xfrm>
                              <a:prstGeom prst="rect">
                                <a:avLst/>
                              </a:prstGeom>
                              <a:solidFill>
                                <a:srgbClr val="99D4F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CBAD008" id="Rectangle 42" o:spid="_x0000_s1026" style="position:absolute;margin-left:-279.25pt;margin-top:1.25pt;width:279pt;height: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" fillcolor="#99d4f9" stroked="f" strokeweight="2pt"/>
                  </w:pict>
                </mc:Fallback>
              </mc:AlternateContent>
            </w:r>
            <w:r>
              <w:rPr>
                <w:noProof/>
              </w:rPr>
              <w:t xml:space="preserve"> </w:t>
            </w:r>
            <w:r>
              <w:rPr>
                <w:noProof/>
              </w:rPr>
              <w:drawing>
                <wp:inline distT="0" distB="0" distL="0" distR="0" wp14:anchorId="2A878E4A" wp14:editId="2D6A7F15">
                  <wp:extent cx="882650" cy="113093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0534" cy="1141037"/>
                          </a:xfrm>
                          <a:prstGeom prst="rect">
                            <a:avLst/>
                          </a:prstGeom>
                        </pic:spPr>
                      </pic:pic>
                    </a:graphicData>
                  </a:graphic>
                </wp:inline>
              </w:drawing>
            </w:r>
            <w:r>
              <w:rPr>
                <w:rFonts w:asciiTheme="majorBidi" w:eastAsia="AdvGulliv-R" w:hAnsiTheme="majorBidi" w:cstheme="majorBidi"/>
                <w:iCs/>
                <w:sz w:val="18"/>
                <w:szCs w:val="18"/>
                <w:lang w:val="en-GB"/>
              </w:rPr>
              <w:t xml:space="preserve">        </w:t>
            </w:r>
          </w:p>
        </w:tc>
      </w:tr>
    </w:tbl>
    <w:p w14:paraId="17564061" w14:textId="77777777" w:rsidR="007C27F7" w:rsidRDefault="007C27F7">
      <w:pPr>
        <w:widowControl w:val="0"/>
        <w:pBdr>
          <w:top w:val="nil"/>
          <w:left w:val="nil"/>
          <w:bottom w:val="nil"/>
          <w:right w:val="nil"/>
          <w:between w:val="nil"/>
        </w:pBdr>
        <w:spacing w:after="0" w:line="276" w:lineRule="auto"/>
        <w:rPr>
          <w:rFonts w:ascii="Arial" w:eastAsia="Arial" w:hAnsi="Arial" w:cs="Arial"/>
          <w:color w:val="000000"/>
        </w:rPr>
      </w:pPr>
    </w:p>
    <w:p w14:paraId="09F60263" w14:textId="77777777" w:rsidR="007C27F7" w:rsidRDefault="007C27F7">
      <w:pPr>
        <w:spacing w:after="0" w:line="276" w:lineRule="auto"/>
        <w:jc w:val="center"/>
        <w:rPr>
          <w:b/>
          <w:bCs/>
          <w:sz w:val="28"/>
          <w:szCs w:val="28"/>
        </w:rPr>
      </w:pPr>
    </w:p>
    <w:p w14:paraId="3DC64EC1" w14:textId="2936150D" w:rsidR="007C27F7" w:rsidRPr="00831243" w:rsidRDefault="00CF07B0">
      <w:pPr>
        <w:spacing w:after="0" w:line="276" w:lineRule="auto"/>
        <w:jc w:val="center"/>
        <w:rPr>
          <w:rFonts w:ascii="Times New Roman" w:hAnsi="Times New Roman" w:cs="Times New Roman"/>
          <w:b/>
          <w:bCs/>
          <w:sz w:val="28"/>
          <w:szCs w:val="28"/>
          <w:lang w:val="en-GB"/>
        </w:rPr>
      </w:pPr>
      <w:r w:rsidRPr="00831243">
        <w:rPr>
          <w:rFonts w:ascii="Times New Roman" w:hAnsi="Times New Roman" w:cs="Times New Roman"/>
          <w:b/>
          <w:bCs/>
          <w:sz w:val="28"/>
          <w:szCs w:val="28"/>
          <w:lang w:val="en-GB"/>
        </w:rPr>
        <w:t>Production and Recycling of Agricultural Mulching Films in Morocco: Challenges, Barriers, and Strategic Pathways</w:t>
      </w:r>
    </w:p>
    <w:p w14:paraId="7BC82431" w14:textId="5E9A56F6" w:rsidR="007C27F7" w:rsidRPr="00831243" w:rsidRDefault="00DC5285" w:rsidP="00DC5285">
      <w:pPr>
        <w:tabs>
          <w:tab w:val="left" w:pos="2090"/>
        </w:tabs>
        <w:spacing w:after="0" w:line="276" w:lineRule="auto"/>
        <w:rPr>
          <w:rFonts w:ascii="Times New Roman" w:hAnsi="Times New Roman" w:cs="Times New Roman"/>
          <w:b/>
          <w:bCs/>
          <w:sz w:val="28"/>
          <w:szCs w:val="28"/>
          <w:lang w:val="en-GB"/>
        </w:rPr>
      </w:pPr>
      <w:bookmarkStart w:id="0" w:name="_tmwr5b1aylzl" w:colFirst="0" w:colLast="0"/>
      <w:bookmarkEnd w:id="0"/>
      <w:r>
        <w:rPr>
          <w:rFonts w:ascii="Times New Roman" w:hAnsi="Times New Roman" w:cs="Times New Roman"/>
          <w:b/>
          <w:bCs/>
          <w:sz w:val="28"/>
          <w:szCs w:val="28"/>
          <w:lang w:val="en-GB"/>
        </w:rPr>
        <w:tab/>
      </w:r>
    </w:p>
    <w:p w14:paraId="48216316" w14:textId="5649E01D" w:rsidR="007C27F7" w:rsidRPr="00E668F8" w:rsidRDefault="00CF07B0" w:rsidP="0036194E">
      <w:pPr>
        <w:pBdr>
          <w:top w:val="nil"/>
          <w:left w:val="nil"/>
          <w:bottom w:val="nil"/>
          <w:right w:val="nil"/>
          <w:between w:val="nil"/>
        </w:pBdr>
        <w:spacing w:line="276" w:lineRule="auto"/>
        <w:jc w:val="center"/>
        <w:rPr>
          <w:rFonts w:asciiTheme="majorBidi" w:hAnsiTheme="majorBidi" w:cstheme="majorBidi"/>
          <w:sz w:val="24"/>
          <w:szCs w:val="24"/>
          <w:lang w:val="en-GB"/>
        </w:rPr>
      </w:pPr>
      <w:r w:rsidRPr="00E668F8">
        <w:rPr>
          <w:rFonts w:asciiTheme="majorBidi" w:hAnsiTheme="majorBidi" w:cstheme="majorBidi"/>
          <w:sz w:val="24"/>
          <w:szCs w:val="24"/>
          <w:lang w:val="en-GB"/>
        </w:rPr>
        <w:t xml:space="preserve">Fatima Azzahra Louanjli </w:t>
      </w:r>
      <w:r w:rsidRPr="00E668F8">
        <w:rPr>
          <w:rFonts w:asciiTheme="majorBidi" w:hAnsiTheme="majorBidi" w:cstheme="majorBidi"/>
          <w:noProof/>
          <w:sz w:val="24"/>
          <w:szCs w:val="24"/>
        </w:rPr>
        <w:drawing>
          <wp:inline distT="0" distB="0" distL="0" distR="0" wp14:anchorId="78CC1F6C" wp14:editId="3B5638EB">
            <wp:extent cx="120666" cy="120666"/>
            <wp:effectExtent l="0" t="0" r="0" b="0"/>
            <wp:docPr id="5" name="image8.pn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hyperlink r:id="rId12">
        <w:r w:rsidRPr="00E668F8">
          <w:rPr>
            <w:rFonts w:asciiTheme="majorBidi" w:hAnsiTheme="majorBidi" w:cstheme="majorBidi"/>
            <w:b/>
            <w:bCs/>
            <w:color w:val="000099"/>
            <w:sz w:val="24"/>
            <w:szCs w:val="24"/>
            <w:vertAlign w:val="superscript"/>
            <w:lang w:val="en-GB"/>
          </w:rPr>
          <w:t>1</w:t>
        </w:r>
      </w:hyperlink>
      <w:r w:rsidRPr="00E668F8">
        <w:rPr>
          <w:rFonts w:asciiTheme="majorBidi" w:hAnsiTheme="majorBidi" w:cstheme="majorBidi"/>
          <w:b/>
          <w:bCs/>
          <w:color w:val="000099"/>
          <w:sz w:val="24"/>
          <w:szCs w:val="24"/>
          <w:vertAlign w:val="superscript"/>
          <w:lang w:val="en-GB"/>
        </w:rPr>
        <w:t>a</w:t>
      </w:r>
      <w:r w:rsidRPr="00E668F8">
        <w:rPr>
          <w:rFonts w:asciiTheme="majorBidi" w:hAnsiTheme="majorBidi" w:cstheme="majorBidi"/>
          <w:sz w:val="24"/>
          <w:szCs w:val="24"/>
          <w:lang w:val="en-GB"/>
        </w:rPr>
        <w:t xml:space="preserve">, Ghita Radi Benjelloun </w:t>
      </w:r>
      <w:r w:rsidRPr="00E668F8">
        <w:rPr>
          <w:rFonts w:asciiTheme="majorBidi" w:hAnsiTheme="majorBidi" w:cstheme="majorBidi"/>
          <w:noProof/>
          <w:sz w:val="24"/>
          <w:szCs w:val="24"/>
        </w:rPr>
        <w:drawing>
          <wp:inline distT="0" distB="0" distL="0" distR="0" wp14:anchorId="7720B5B0" wp14:editId="73C10148">
            <wp:extent cx="120666" cy="120666"/>
            <wp:effectExtent l="0" t="0" r="0" b="0"/>
            <wp:docPr id="8" name="image8.png">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hyperlink r:id="rId14">
        <w:r w:rsidRPr="00E668F8">
          <w:rPr>
            <w:rFonts w:asciiTheme="majorBidi" w:hAnsiTheme="majorBidi" w:cstheme="majorBidi"/>
            <w:b/>
            <w:bCs/>
            <w:color w:val="000099"/>
            <w:sz w:val="24"/>
            <w:szCs w:val="24"/>
            <w:vertAlign w:val="superscript"/>
            <w:lang w:val="en-GB"/>
          </w:rPr>
          <w:t>1</w:t>
        </w:r>
      </w:hyperlink>
      <w:r w:rsidRPr="00E668F8">
        <w:rPr>
          <w:rFonts w:asciiTheme="majorBidi" w:hAnsiTheme="majorBidi" w:cstheme="majorBidi"/>
          <w:b/>
          <w:bCs/>
          <w:color w:val="000099"/>
          <w:sz w:val="24"/>
          <w:szCs w:val="24"/>
          <w:vertAlign w:val="superscript"/>
          <w:lang w:val="en-GB"/>
        </w:rPr>
        <w:t>b</w:t>
      </w:r>
      <w:r w:rsidRPr="00E668F8">
        <w:rPr>
          <w:rFonts w:asciiTheme="majorBidi" w:hAnsiTheme="majorBidi" w:cstheme="majorBidi"/>
          <w:sz w:val="24"/>
          <w:szCs w:val="24"/>
          <w:lang w:val="en-GB"/>
        </w:rPr>
        <w:t xml:space="preserve">, Khawla Waddi </w:t>
      </w:r>
      <w:r w:rsidRPr="00E668F8">
        <w:rPr>
          <w:rFonts w:asciiTheme="majorBidi" w:hAnsiTheme="majorBidi" w:cstheme="majorBidi"/>
          <w:noProof/>
          <w:sz w:val="24"/>
          <w:szCs w:val="24"/>
        </w:rPr>
        <w:drawing>
          <wp:inline distT="0" distB="0" distL="0" distR="0" wp14:anchorId="097F18CC" wp14:editId="3D88B140">
            <wp:extent cx="120666" cy="120666"/>
            <wp:effectExtent l="0" t="0" r="0" b="0"/>
            <wp:docPr id="7" name="image8.png">
              <a:hlinkClick xmlns:a="http://schemas.openxmlformats.org/drawingml/2006/main" r:id="rId15"/>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hyperlink r:id="rId16">
        <w:r w:rsidRPr="00E668F8">
          <w:rPr>
            <w:rFonts w:asciiTheme="majorBidi" w:hAnsiTheme="majorBidi" w:cstheme="majorBidi"/>
            <w:b/>
            <w:bCs/>
            <w:color w:val="000099"/>
            <w:sz w:val="24"/>
            <w:szCs w:val="24"/>
            <w:vertAlign w:val="superscript"/>
            <w:lang w:val="en-GB"/>
          </w:rPr>
          <w:t>1</w:t>
        </w:r>
      </w:hyperlink>
      <w:r w:rsidRPr="00E668F8">
        <w:rPr>
          <w:rFonts w:asciiTheme="majorBidi" w:hAnsiTheme="majorBidi" w:cstheme="majorBidi"/>
          <w:b/>
          <w:bCs/>
          <w:color w:val="000099"/>
          <w:sz w:val="24"/>
          <w:szCs w:val="24"/>
          <w:vertAlign w:val="superscript"/>
          <w:lang w:val="en-GB"/>
        </w:rPr>
        <w:t>c</w:t>
      </w:r>
      <w:r w:rsidRPr="00E668F8">
        <w:rPr>
          <w:rFonts w:asciiTheme="majorBidi" w:hAnsiTheme="majorBidi" w:cstheme="majorBidi"/>
          <w:sz w:val="24"/>
          <w:szCs w:val="24"/>
          <w:lang w:val="en-GB"/>
        </w:rPr>
        <w:t xml:space="preserve">, </w:t>
      </w:r>
      <w:hyperlink r:id="rId17">
        <w:r w:rsidRPr="00E668F8">
          <w:rPr>
            <w:rFonts w:asciiTheme="majorBidi" w:hAnsiTheme="majorBidi" w:cstheme="majorBidi"/>
            <w:sz w:val="24"/>
            <w:szCs w:val="24"/>
            <w:lang w:val="en-GB"/>
          </w:rPr>
          <w:t>FatimaZahra Boutaleb</w:t>
        </w:r>
      </w:hyperlink>
      <w:r w:rsidRPr="00E668F8">
        <w:rPr>
          <w:rFonts w:asciiTheme="majorBidi" w:hAnsiTheme="majorBidi" w:cstheme="majorBidi"/>
          <w:sz w:val="24"/>
          <w:szCs w:val="24"/>
          <w:lang w:val="en-GB"/>
        </w:rPr>
        <w:t xml:space="preserve"> </w:t>
      </w:r>
      <w:r w:rsidRPr="00E668F8">
        <w:rPr>
          <w:rFonts w:asciiTheme="majorBidi" w:hAnsiTheme="majorBidi" w:cstheme="majorBidi"/>
          <w:noProof/>
          <w:sz w:val="24"/>
          <w:szCs w:val="24"/>
        </w:rPr>
        <w:drawing>
          <wp:inline distT="0" distB="0" distL="0" distR="0" wp14:anchorId="18A0C966" wp14:editId="66254EA0">
            <wp:extent cx="120666" cy="120666"/>
            <wp:effectExtent l="0" t="0" r="0" b="0"/>
            <wp:docPr id="10" name="image8.png">
              <a:hlinkClick xmlns:a="http://schemas.openxmlformats.org/drawingml/2006/main" r:id="rId17"/>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hyperlink r:id="rId18">
        <w:r w:rsidRPr="00E668F8">
          <w:rPr>
            <w:rFonts w:asciiTheme="majorBidi" w:hAnsiTheme="majorBidi" w:cstheme="majorBidi"/>
            <w:b/>
            <w:bCs/>
            <w:color w:val="000099"/>
            <w:sz w:val="24"/>
            <w:szCs w:val="24"/>
            <w:vertAlign w:val="superscript"/>
            <w:lang w:val="en-GB"/>
          </w:rPr>
          <w:t>1</w:t>
        </w:r>
      </w:hyperlink>
      <w:r w:rsidRPr="00E668F8">
        <w:rPr>
          <w:rFonts w:asciiTheme="majorBidi" w:hAnsiTheme="majorBidi" w:cstheme="majorBidi"/>
          <w:b/>
          <w:bCs/>
          <w:color w:val="000099"/>
          <w:sz w:val="24"/>
          <w:szCs w:val="24"/>
          <w:vertAlign w:val="superscript"/>
          <w:lang w:val="en-GB"/>
        </w:rPr>
        <w:t>d</w:t>
      </w:r>
      <w:r w:rsidRPr="00E668F8">
        <w:rPr>
          <w:rFonts w:asciiTheme="majorBidi" w:hAnsiTheme="majorBidi" w:cstheme="majorBidi"/>
          <w:sz w:val="24"/>
          <w:szCs w:val="24"/>
          <w:lang w:val="en-GB"/>
        </w:rPr>
        <w:t xml:space="preserve">, Rajaa Tesse </w:t>
      </w:r>
      <w:r w:rsidRPr="00E668F8">
        <w:rPr>
          <w:rFonts w:asciiTheme="majorBidi" w:hAnsiTheme="majorBidi" w:cstheme="majorBidi"/>
          <w:noProof/>
          <w:sz w:val="24"/>
          <w:szCs w:val="24"/>
        </w:rPr>
        <w:drawing>
          <wp:inline distT="0" distB="0" distL="0" distR="0" wp14:anchorId="1E92C1DB" wp14:editId="238D18F6">
            <wp:extent cx="120666" cy="120666"/>
            <wp:effectExtent l="0" t="0" r="0" b="0"/>
            <wp:docPr id="9" name="image8.png">
              <a:hlinkClick xmlns:a="http://schemas.openxmlformats.org/drawingml/2006/main" r:id="rId19"/>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hyperlink r:id="rId20">
        <w:r w:rsidRPr="00E668F8">
          <w:rPr>
            <w:rFonts w:asciiTheme="majorBidi" w:hAnsiTheme="majorBidi" w:cstheme="majorBidi"/>
            <w:b/>
            <w:bCs/>
            <w:color w:val="000099"/>
            <w:sz w:val="24"/>
            <w:szCs w:val="24"/>
            <w:vertAlign w:val="superscript"/>
            <w:lang w:val="en-GB"/>
          </w:rPr>
          <w:t>1</w:t>
        </w:r>
      </w:hyperlink>
      <w:r w:rsidRPr="00E668F8">
        <w:rPr>
          <w:rFonts w:asciiTheme="majorBidi" w:hAnsiTheme="majorBidi" w:cstheme="majorBidi"/>
          <w:b/>
          <w:bCs/>
          <w:color w:val="000099"/>
          <w:sz w:val="24"/>
          <w:szCs w:val="24"/>
          <w:vertAlign w:val="superscript"/>
          <w:lang w:val="en-GB"/>
        </w:rPr>
        <w:t>e</w:t>
      </w:r>
      <w:r w:rsidRPr="00E668F8">
        <w:rPr>
          <w:rFonts w:asciiTheme="majorBidi" w:hAnsiTheme="majorBidi" w:cstheme="majorBidi"/>
          <w:sz w:val="24"/>
          <w:szCs w:val="24"/>
          <w:lang w:val="en-GB"/>
        </w:rPr>
        <w:t xml:space="preserve">, </w:t>
      </w:r>
      <w:hyperlink r:id="rId21">
        <w:r w:rsidRPr="00E668F8">
          <w:rPr>
            <w:rFonts w:asciiTheme="majorBidi" w:hAnsiTheme="majorBidi" w:cstheme="majorBidi"/>
            <w:sz w:val="24"/>
            <w:szCs w:val="24"/>
            <w:lang w:val="en-GB"/>
          </w:rPr>
          <w:t>Ikrame Charef</w:t>
        </w:r>
      </w:hyperlink>
      <w:r w:rsidRPr="00E668F8">
        <w:rPr>
          <w:rFonts w:asciiTheme="majorBidi" w:hAnsiTheme="majorBidi" w:cstheme="majorBidi"/>
          <w:sz w:val="24"/>
          <w:szCs w:val="24"/>
          <w:lang w:val="en-GB"/>
        </w:rPr>
        <w:t xml:space="preserve"> </w:t>
      </w:r>
      <w:r w:rsidRPr="00E668F8">
        <w:rPr>
          <w:rFonts w:asciiTheme="majorBidi" w:hAnsiTheme="majorBidi" w:cstheme="majorBidi"/>
          <w:b/>
          <w:bCs/>
          <w:noProof/>
          <w:color w:val="000099"/>
          <w:sz w:val="24"/>
          <w:szCs w:val="24"/>
          <w:vertAlign w:val="superscript"/>
        </w:rPr>
        <w:drawing>
          <wp:inline distT="0" distB="0" distL="0" distR="0" wp14:anchorId="1608F990" wp14:editId="4B12D740">
            <wp:extent cx="120666" cy="120666"/>
            <wp:effectExtent l="0" t="0" r="0" b="0"/>
            <wp:docPr id="12" name="image8.png">
              <a:hlinkClick xmlns:a="http://schemas.openxmlformats.org/drawingml/2006/main" r:id="rId21"/>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hyperlink r:id="rId22">
        <w:r w:rsidRPr="00E668F8">
          <w:rPr>
            <w:rFonts w:asciiTheme="majorBidi" w:hAnsiTheme="majorBidi" w:cstheme="majorBidi"/>
            <w:b/>
            <w:bCs/>
            <w:color w:val="000099"/>
            <w:sz w:val="24"/>
            <w:szCs w:val="24"/>
            <w:vertAlign w:val="superscript"/>
            <w:lang w:val="en-GB"/>
          </w:rPr>
          <w:t>1</w:t>
        </w:r>
      </w:hyperlink>
      <w:r w:rsidRPr="00E668F8">
        <w:rPr>
          <w:rFonts w:asciiTheme="majorBidi" w:hAnsiTheme="majorBidi" w:cstheme="majorBidi"/>
          <w:b/>
          <w:bCs/>
          <w:color w:val="000099"/>
          <w:sz w:val="24"/>
          <w:szCs w:val="24"/>
          <w:vertAlign w:val="superscript"/>
          <w:lang w:val="en-GB"/>
        </w:rPr>
        <w:t>f</w:t>
      </w:r>
      <w:r w:rsidRPr="00E668F8">
        <w:rPr>
          <w:rFonts w:asciiTheme="majorBidi" w:hAnsiTheme="majorBidi" w:cstheme="majorBidi"/>
          <w:sz w:val="24"/>
          <w:szCs w:val="24"/>
          <w:lang w:val="en-GB"/>
        </w:rPr>
        <w:t xml:space="preserve">, </w:t>
      </w:r>
      <w:r w:rsidR="0036194E" w:rsidRPr="00E668F8">
        <w:rPr>
          <w:rFonts w:asciiTheme="majorBidi" w:hAnsiTheme="majorBidi" w:cstheme="majorBidi"/>
          <w:sz w:val="24"/>
          <w:szCs w:val="24"/>
          <w:lang w:val="en-GB"/>
        </w:rPr>
        <w:t xml:space="preserve">Meriem Mahmoudi </w:t>
      </w:r>
      <w:r w:rsidR="0036194E" w:rsidRPr="00E668F8">
        <w:rPr>
          <w:rFonts w:asciiTheme="majorBidi" w:hAnsiTheme="majorBidi" w:cstheme="majorBidi"/>
          <w:noProof/>
          <w:sz w:val="24"/>
          <w:szCs w:val="24"/>
        </w:rPr>
        <w:drawing>
          <wp:inline distT="0" distB="0" distL="0" distR="0" wp14:anchorId="3E950F01" wp14:editId="77B902F7">
            <wp:extent cx="120650" cy="120650"/>
            <wp:effectExtent l="0" t="0" r="0" b="0"/>
            <wp:docPr id="2" name="Image 2">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ngegg.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0666" cy="120666"/>
                    </a:xfrm>
                    <a:prstGeom prst="rect">
                      <a:avLst/>
                    </a:prstGeom>
                  </pic:spPr>
                </pic:pic>
              </a:graphicData>
            </a:graphic>
          </wp:inline>
        </w:drawing>
      </w:r>
      <w:r w:rsidR="0036194E" w:rsidRPr="00E668F8">
        <w:rPr>
          <w:rFonts w:asciiTheme="majorBidi" w:hAnsiTheme="majorBidi" w:cstheme="majorBidi"/>
          <w:b/>
          <w:bCs/>
          <w:color w:val="000099"/>
          <w:sz w:val="24"/>
          <w:szCs w:val="24"/>
          <w:vertAlign w:val="superscript"/>
          <w:lang w:val="en-GB"/>
        </w:rPr>
        <w:t>1g</w:t>
      </w:r>
      <w:r w:rsidR="0036194E" w:rsidRPr="00E668F8">
        <w:rPr>
          <w:rFonts w:asciiTheme="majorBidi" w:hAnsiTheme="majorBidi" w:cstheme="majorBidi"/>
          <w:sz w:val="24"/>
          <w:szCs w:val="24"/>
          <w:lang w:val="en-GB"/>
        </w:rPr>
        <w:t xml:space="preserve">, </w:t>
      </w:r>
      <w:hyperlink r:id="rId25">
        <w:r w:rsidRPr="00E668F8">
          <w:rPr>
            <w:rFonts w:asciiTheme="majorBidi" w:hAnsiTheme="majorBidi" w:cstheme="majorBidi"/>
            <w:sz w:val="24"/>
            <w:szCs w:val="24"/>
            <w:lang w:val="en-GB"/>
          </w:rPr>
          <w:t>Bouchaib Bahlaouan</w:t>
        </w:r>
      </w:hyperlink>
      <w:r w:rsidRPr="00E668F8">
        <w:rPr>
          <w:rFonts w:asciiTheme="majorBidi" w:hAnsiTheme="majorBidi" w:cstheme="majorBidi"/>
          <w:sz w:val="24"/>
          <w:szCs w:val="24"/>
          <w:lang w:val="en-GB"/>
        </w:rPr>
        <w:t xml:space="preserve"> </w:t>
      </w:r>
      <w:r w:rsidRPr="00E668F8">
        <w:rPr>
          <w:rFonts w:asciiTheme="majorBidi" w:hAnsiTheme="majorBidi" w:cstheme="majorBidi"/>
          <w:noProof/>
          <w:sz w:val="24"/>
          <w:szCs w:val="24"/>
        </w:rPr>
        <w:drawing>
          <wp:inline distT="0" distB="0" distL="0" distR="0" wp14:anchorId="441CFF9F" wp14:editId="61EDF256">
            <wp:extent cx="120666" cy="120666"/>
            <wp:effectExtent l="0" t="0" r="0" b="0"/>
            <wp:docPr id="11" name="image8.png">
              <a:hlinkClick xmlns:a="http://schemas.openxmlformats.org/drawingml/2006/main" r:id="rId25"/>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r w:rsidRPr="00E668F8">
        <w:rPr>
          <w:rFonts w:asciiTheme="majorBidi" w:hAnsiTheme="majorBidi" w:cstheme="majorBidi"/>
          <w:b/>
          <w:bCs/>
          <w:color w:val="000099"/>
          <w:sz w:val="24"/>
          <w:szCs w:val="24"/>
          <w:vertAlign w:val="superscript"/>
          <w:lang w:val="en-GB"/>
        </w:rPr>
        <w:t>2</w:t>
      </w:r>
      <w:r w:rsidR="0036194E" w:rsidRPr="00E668F8">
        <w:rPr>
          <w:rFonts w:asciiTheme="majorBidi" w:hAnsiTheme="majorBidi" w:cstheme="majorBidi"/>
          <w:b/>
          <w:bCs/>
          <w:color w:val="000099"/>
          <w:sz w:val="24"/>
          <w:szCs w:val="24"/>
          <w:vertAlign w:val="superscript"/>
          <w:lang w:val="en-GB"/>
        </w:rPr>
        <w:t>h</w:t>
      </w:r>
      <w:r w:rsidRPr="00E668F8">
        <w:rPr>
          <w:rFonts w:asciiTheme="majorBidi" w:hAnsiTheme="majorBidi" w:cstheme="majorBidi"/>
          <w:sz w:val="24"/>
          <w:szCs w:val="24"/>
          <w:lang w:val="en-GB"/>
        </w:rPr>
        <w:t xml:space="preserve">, &amp; </w:t>
      </w:r>
      <w:hyperlink r:id="rId26">
        <w:r w:rsidRPr="00E668F8">
          <w:rPr>
            <w:rFonts w:asciiTheme="majorBidi" w:hAnsiTheme="majorBidi" w:cstheme="majorBidi"/>
            <w:sz w:val="24"/>
            <w:szCs w:val="24"/>
            <w:lang w:val="en-GB"/>
          </w:rPr>
          <w:t>Nadia Boutaleb</w:t>
        </w:r>
      </w:hyperlink>
      <w:r w:rsidRPr="00E668F8">
        <w:rPr>
          <w:rFonts w:asciiTheme="majorBidi" w:hAnsiTheme="majorBidi" w:cstheme="majorBidi"/>
          <w:sz w:val="24"/>
          <w:szCs w:val="24"/>
          <w:lang w:val="en-GB"/>
        </w:rPr>
        <w:t xml:space="preserve"> </w:t>
      </w:r>
      <w:r w:rsidRPr="00E668F8">
        <w:rPr>
          <w:rFonts w:asciiTheme="majorBidi" w:hAnsiTheme="majorBidi" w:cstheme="majorBidi"/>
          <w:b/>
          <w:bCs/>
          <w:noProof/>
          <w:color w:val="000099"/>
          <w:sz w:val="24"/>
          <w:szCs w:val="24"/>
          <w:vertAlign w:val="superscript"/>
        </w:rPr>
        <w:drawing>
          <wp:inline distT="0" distB="0" distL="0" distR="0" wp14:anchorId="0A9C931B" wp14:editId="5A51A104">
            <wp:extent cx="120666" cy="120666"/>
            <wp:effectExtent l="0" t="0" r="0" b="0"/>
            <wp:docPr id="14" name="image8.png">
              <a:hlinkClick xmlns:a="http://schemas.openxmlformats.org/drawingml/2006/main" r:id="rId26"/>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hyperlink r:id="rId27">
        <w:r w:rsidRPr="00E668F8">
          <w:rPr>
            <w:rFonts w:asciiTheme="majorBidi" w:hAnsiTheme="majorBidi" w:cstheme="majorBidi"/>
            <w:b/>
            <w:bCs/>
            <w:color w:val="000099"/>
            <w:sz w:val="24"/>
            <w:szCs w:val="24"/>
            <w:vertAlign w:val="superscript"/>
            <w:lang w:val="en-GB"/>
          </w:rPr>
          <w:t>1</w:t>
        </w:r>
      </w:hyperlink>
      <w:r w:rsidR="0036194E" w:rsidRPr="00E668F8">
        <w:rPr>
          <w:rFonts w:asciiTheme="majorBidi" w:hAnsiTheme="majorBidi" w:cstheme="majorBidi"/>
          <w:b/>
          <w:bCs/>
          <w:color w:val="000099"/>
          <w:sz w:val="24"/>
          <w:szCs w:val="24"/>
          <w:vertAlign w:val="superscript"/>
          <w:lang w:val="en-GB"/>
        </w:rPr>
        <w:t>i</w:t>
      </w:r>
      <w:hyperlink r:id="rId28">
        <w:r w:rsidR="003B18E7" w:rsidRPr="00E668F8">
          <w:rPr>
            <w:rFonts w:asciiTheme="majorBidi" w:eastAsia="Cambria Math" w:hAnsiTheme="majorBidi" w:cstheme="majorBidi"/>
            <w:b/>
            <w:bCs/>
            <w:color w:val="000099"/>
            <w:sz w:val="24"/>
            <w:szCs w:val="24"/>
            <w:lang w:val="en-GB"/>
          </w:rPr>
          <w:t>*</w:t>
        </w:r>
      </w:hyperlink>
      <w:r w:rsidRPr="00E668F8">
        <w:rPr>
          <w:rFonts w:asciiTheme="majorBidi" w:hAnsiTheme="majorBidi" w:cstheme="majorBidi"/>
          <w:sz w:val="24"/>
          <w:szCs w:val="24"/>
          <w:lang w:val="en-GB"/>
        </w:rPr>
        <w:t xml:space="preserve"> </w:t>
      </w:r>
    </w:p>
    <w:p w14:paraId="7BD2DDAB" w14:textId="77777777" w:rsidR="007C27F7" w:rsidRPr="00E439FA" w:rsidRDefault="007C27F7">
      <w:pPr>
        <w:spacing w:after="0" w:line="240" w:lineRule="auto"/>
        <w:jc w:val="center"/>
        <w:rPr>
          <w:rFonts w:ascii="Times New Roman" w:hAnsi="Times New Roman" w:cs="Times New Roman"/>
          <w:sz w:val="24"/>
          <w:szCs w:val="24"/>
          <w:lang w:val="en-GB"/>
        </w:rPr>
      </w:pPr>
    </w:p>
    <w:p w14:paraId="638ED77D" w14:textId="64B3DED8" w:rsidR="007C27F7" w:rsidRPr="00831243" w:rsidRDefault="00CF07B0" w:rsidP="00572A55">
      <w:pPr>
        <w:spacing w:after="120" w:line="276" w:lineRule="auto"/>
        <w:jc w:val="center"/>
        <w:rPr>
          <w:rFonts w:ascii="Times New Roman" w:hAnsi="Times New Roman" w:cs="Times New Roman"/>
          <w:i/>
          <w:iCs/>
          <w:color w:val="000000"/>
          <w:sz w:val="24"/>
          <w:szCs w:val="24"/>
          <w:lang w:val="en-GB"/>
        </w:rPr>
      </w:pPr>
      <w:r w:rsidRPr="00831243">
        <w:rPr>
          <w:rFonts w:ascii="Times New Roman" w:hAnsi="Times New Roman" w:cs="Times New Roman"/>
          <w:b/>
          <w:bCs/>
          <w:color w:val="000000"/>
          <w:sz w:val="24"/>
          <w:szCs w:val="24"/>
          <w:vertAlign w:val="superscript"/>
          <w:lang w:val="en-GB"/>
        </w:rPr>
        <w:t xml:space="preserve">1 </w:t>
      </w:r>
      <w:r w:rsidRPr="00831243">
        <w:rPr>
          <w:rFonts w:ascii="Times New Roman" w:hAnsi="Times New Roman" w:cs="Times New Roman"/>
          <w:i/>
          <w:iCs/>
          <w:color w:val="000000"/>
          <w:sz w:val="24"/>
          <w:szCs w:val="24"/>
          <w:lang w:val="en-GB"/>
        </w:rPr>
        <w:t>Hassan II University of Casablanca</w:t>
      </w:r>
      <w:r w:rsidR="00572A55">
        <w:rPr>
          <w:rFonts w:ascii="Times New Roman" w:hAnsi="Times New Roman" w:cs="Times New Roman"/>
          <w:i/>
          <w:iCs/>
          <w:color w:val="000000"/>
          <w:sz w:val="24"/>
          <w:szCs w:val="24"/>
          <w:lang w:val="en-GB"/>
        </w:rPr>
        <w:t xml:space="preserve"> </w:t>
      </w:r>
      <w:r w:rsidR="00572A55" w:rsidRPr="00572A55">
        <w:rPr>
          <w:rFonts w:ascii="Times New Roman" w:eastAsiaTheme="minorEastAsia" w:hAnsi="Times New Roman" w:cs="Times New Roman"/>
          <w:i/>
          <w:iCs/>
          <w:noProof/>
          <w:color w:val="000000"/>
          <w:sz w:val="24"/>
          <w:szCs w:val="24"/>
        </w:rPr>
        <w:drawing>
          <wp:inline distT="0" distB="0" distL="0" distR="0" wp14:anchorId="3E0A4C27" wp14:editId="09ED947D">
            <wp:extent cx="191537" cy="122400"/>
            <wp:effectExtent l="0" t="0" r="0" b="0"/>
            <wp:docPr id="4" name="Image 4">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r-logo-800.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1537" cy="122400"/>
                    </a:xfrm>
                    <a:prstGeom prst="rect">
                      <a:avLst/>
                    </a:prstGeom>
                  </pic:spPr>
                </pic:pic>
              </a:graphicData>
            </a:graphic>
          </wp:inline>
        </w:drawing>
      </w:r>
      <w:r w:rsidRPr="00831243">
        <w:rPr>
          <w:rFonts w:ascii="Times New Roman" w:hAnsi="Times New Roman" w:cs="Times New Roman"/>
          <w:i/>
          <w:iCs/>
          <w:color w:val="000000"/>
          <w:sz w:val="24"/>
          <w:szCs w:val="24"/>
          <w:lang w:val="en-GB"/>
        </w:rPr>
        <w:t xml:space="preserve">, Laboratory of Biotechnology, Agri-Food, Materials and Environment, Team: Biotechnologies, Resource </w:t>
      </w:r>
      <w:r w:rsidRPr="00831243">
        <w:rPr>
          <w:rFonts w:ascii="Times New Roman" w:hAnsi="Times New Roman" w:cs="Times New Roman"/>
          <w:i/>
          <w:iCs/>
          <w:sz w:val="24"/>
          <w:szCs w:val="24"/>
          <w:lang w:val="en-GB"/>
        </w:rPr>
        <w:t>Valorization</w:t>
      </w:r>
      <w:r w:rsidRPr="00831243">
        <w:rPr>
          <w:rFonts w:ascii="Times New Roman" w:hAnsi="Times New Roman" w:cs="Times New Roman"/>
          <w:i/>
          <w:iCs/>
          <w:color w:val="000000"/>
          <w:sz w:val="24"/>
          <w:szCs w:val="24"/>
          <w:lang w:val="en-GB"/>
        </w:rPr>
        <w:t>, Quality, Health and Ecotoxicology, Faculty of Science and Technology Mohammedia, BP 146, Mohammedia 20650, Morocco</w:t>
      </w:r>
    </w:p>
    <w:p w14:paraId="79EDC5AD" w14:textId="5D447DA9" w:rsidR="007C27F7" w:rsidRDefault="00CF07B0" w:rsidP="00572A55">
      <w:pPr>
        <w:spacing w:after="120" w:line="276" w:lineRule="auto"/>
        <w:jc w:val="center"/>
        <w:rPr>
          <w:rFonts w:ascii="Times New Roman" w:hAnsi="Times New Roman" w:cs="Times New Roman"/>
          <w:i/>
          <w:iCs/>
          <w:color w:val="000000"/>
          <w:sz w:val="24"/>
          <w:szCs w:val="24"/>
          <w:lang w:val="en-GB"/>
        </w:rPr>
      </w:pPr>
      <w:r w:rsidRPr="00E439FA">
        <w:rPr>
          <w:rFonts w:ascii="Times New Roman" w:hAnsi="Times New Roman" w:cs="Times New Roman"/>
          <w:b/>
          <w:bCs/>
          <w:color w:val="000000"/>
          <w:sz w:val="24"/>
          <w:szCs w:val="24"/>
          <w:vertAlign w:val="superscript"/>
          <w:lang w:val="en-GB"/>
        </w:rPr>
        <w:t xml:space="preserve">2 </w:t>
      </w:r>
      <w:r w:rsidRPr="00E439FA">
        <w:rPr>
          <w:rFonts w:ascii="Times New Roman" w:hAnsi="Times New Roman" w:cs="Times New Roman"/>
          <w:i/>
          <w:iCs/>
          <w:color w:val="000000"/>
          <w:sz w:val="24"/>
          <w:szCs w:val="24"/>
          <w:lang w:val="en-GB"/>
        </w:rPr>
        <w:t xml:space="preserve">Higher Institutes of the Nursing Professions and Techniques of Health (ISPITS) </w:t>
      </w:r>
      <w:r w:rsidR="00572A55" w:rsidRPr="00572A55">
        <w:rPr>
          <w:rFonts w:ascii="Times New Roman" w:eastAsiaTheme="minorEastAsia" w:hAnsi="Times New Roman" w:cs="Times New Roman"/>
          <w:i/>
          <w:iCs/>
          <w:noProof/>
          <w:color w:val="000000"/>
          <w:sz w:val="24"/>
          <w:szCs w:val="24"/>
        </w:rPr>
        <w:drawing>
          <wp:inline distT="0" distB="0" distL="0" distR="0" wp14:anchorId="5F1BA616" wp14:editId="5351F0D9">
            <wp:extent cx="191537" cy="122400"/>
            <wp:effectExtent l="0" t="0" r="0" b="0"/>
            <wp:docPr id="6" name="Image 6">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r-logo-800.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1537" cy="122400"/>
                    </a:xfrm>
                    <a:prstGeom prst="rect">
                      <a:avLst/>
                    </a:prstGeom>
                  </pic:spPr>
                </pic:pic>
              </a:graphicData>
            </a:graphic>
          </wp:inline>
        </w:drawing>
      </w:r>
      <w:r w:rsidRPr="00E439FA">
        <w:rPr>
          <w:rFonts w:ascii="Times New Roman" w:hAnsi="Times New Roman" w:cs="Times New Roman"/>
          <w:i/>
          <w:iCs/>
          <w:color w:val="000000"/>
          <w:sz w:val="24"/>
          <w:szCs w:val="24"/>
          <w:lang w:val="en-GB"/>
        </w:rPr>
        <w:t>, Laboratory of Care, Health and Sustainable Development 2S2D, Casablanca 22500, Morocco</w:t>
      </w:r>
    </w:p>
    <w:p w14:paraId="3B7A40F1" w14:textId="77777777" w:rsidR="0021685C" w:rsidRPr="00E439FA" w:rsidRDefault="0021685C">
      <w:pPr>
        <w:spacing w:after="120" w:line="276" w:lineRule="auto"/>
        <w:jc w:val="center"/>
        <w:rPr>
          <w:rFonts w:ascii="Times New Roman" w:hAnsi="Times New Roman" w:cs="Times New Roman"/>
          <w:i/>
          <w:iCs/>
          <w:color w:val="000000"/>
          <w:sz w:val="24"/>
          <w:szCs w:val="24"/>
          <w:lang w:val="en-GB"/>
        </w:rPr>
      </w:pPr>
    </w:p>
    <w:p w14:paraId="7EFD7BDA" w14:textId="6A338BC6" w:rsidR="007C27F7" w:rsidRPr="00831243" w:rsidRDefault="00CF07B0">
      <w:pPr>
        <w:tabs>
          <w:tab w:val="left" w:pos="0"/>
          <w:tab w:val="left" w:pos="8505"/>
        </w:tabs>
        <w:spacing w:after="120" w:line="240" w:lineRule="auto"/>
        <w:rPr>
          <w:rFonts w:ascii="Times New Roman" w:hAnsi="Times New Roman" w:cs="Times New Roman"/>
          <w:i/>
          <w:iCs/>
          <w:color w:val="0000FF"/>
          <w:lang w:val="en-GB"/>
        </w:rPr>
      </w:pPr>
      <w:r w:rsidRPr="00831243">
        <w:rPr>
          <w:rFonts w:ascii="Times New Roman" w:hAnsi="Times New Roman" w:cs="Times New Roman"/>
          <w:i/>
          <w:iCs/>
          <w:vertAlign w:val="superscript"/>
          <w:lang w:val="en-GB"/>
        </w:rPr>
        <w:t>a</w:t>
      </w:r>
      <w:r w:rsidRPr="00831243">
        <w:rPr>
          <w:rFonts w:ascii="Times New Roman" w:hAnsi="Times New Roman" w:cs="Times New Roman"/>
          <w:i/>
          <w:iCs/>
          <w:lang w:val="en-GB"/>
        </w:rPr>
        <w:t xml:space="preserve"> </w:t>
      </w:r>
      <w:r w:rsidRPr="00831243">
        <w:rPr>
          <w:rFonts w:ascii="Times New Roman" w:hAnsi="Times New Roman" w:cs="Times New Roman"/>
          <w:b/>
          <w:bCs/>
          <w:i/>
          <w:iCs/>
          <w:lang w:val="en-GB"/>
        </w:rPr>
        <w:t>ORCID</w:t>
      </w:r>
      <w:r w:rsidRPr="003E6A5C">
        <w:rPr>
          <w:rFonts w:ascii="Times New Roman" w:hAnsi="Times New Roman" w:cs="Times New Roman"/>
          <w:i/>
          <w:iCs/>
          <w:color w:val="000000"/>
          <w:lang w:val="en-GB"/>
        </w:rPr>
        <w:t xml:space="preserve">: </w:t>
      </w:r>
      <w:hyperlink r:id="rId31" w:history="1">
        <w:r w:rsidRPr="003E6A5C">
          <w:rPr>
            <w:rFonts w:ascii="Times New Roman" w:hAnsi="Times New Roman" w:cs="Times New Roman"/>
            <w:i/>
            <w:iCs/>
            <w:color w:val="000000"/>
            <w:lang w:val="en-GB"/>
          </w:rPr>
          <w:t>0000-0002-3482-3828</w:t>
        </w:r>
      </w:hyperlink>
      <w:r w:rsidRPr="00831243">
        <w:rPr>
          <w:rFonts w:ascii="Times New Roman" w:hAnsi="Times New Roman" w:cs="Times New Roman"/>
          <w:i/>
          <w:iCs/>
          <w:lang w:val="en-GB"/>
        </w:rPr>
        <w:t xml:space="preserve">; </w:t>
      </w:r>
      <w:r w:rsidRPr="00831243">
        <w:rPr>
          <w:rFonts w:ascii="Times New Roman" w:hAnsi="Times New Roman" w:cs="Times New Roman"/>
          <w:b/>
          <w:bCs/>
          <w:i/>
          <w:iCs/>
          <w:lang w:val="en-GB"/>
        </w:rPr>
        <w:t>Email:</w:t>
      </w:r>
      <w:r w:rsidRPr="00831243">
        <w:rPr>
          <w:rFonts w:ascii="Times New Roman" w:hAnsi="Times New Roman" w:cs="Times New Roman"/>
          <w:i/>
          <w:iCs/>
          <w:color w:val="0000FF"/>
          <w:lang w:val="en-GB"/>
        </w:rPr>
        <w:t xml:space="preserve"> </w:t>
      </w:r>
      <w:hyperlink r:id="rId32">
        <w:r w:rsidRPr="00831243">
          <w:rPr>
            <w:rFonts w:ascii="Times New Roman" w:hAnsi="Times New Roman" w:cs="Times New Roman"/>
            <w:i/>
            <w:iCs/>
            <w:color w:val="0000FF"/>
            <w:lang w:val="en-GB"/>
          </w:rPr>
          <w:t>f.louanjli@gmail.com</w:t>
        </w:r>
      </w:hyperlink>
    </w:p>
    <w:p w14:paraId="5D8546D7" w14:textId="03C19017" w:rsidR="007C27F7" w:rsidRPr="00831243" w:rsidRDefault="00CF07B0">
      <w:pPr>
        <w:spacing w:after="0" w:line="360" w:lineRule="auto"/>
        <w:rPr>
          <w:rFonts w:ascii="Times New Roman" w:hAnsi="Times New Roman" w:cs="Times New Roman"/>
          <w:i/>
          <w:iCs/>
          <w:color w:val="000000"/>
          <w:lang w:val="en-GB"/>
        </w:rPr>
      </w:pPr>
      <w:r w:rsidRPr="00473BD7">
        <w:rPr>
          <w:rFonts w:ascii="Times New Roman" w:hAnsi="Times New Roman" w:cs="Times New Roman"/>
          <w:i/>
          <w:iCs/>
          <w:vertAlign w:val="superscript"/>
          <w:lang w:val="en-GB"/>
        </w:rPr>
        <w:t>b</w:t>
      </w:r>
      <w:r w:rsidRPr="00831243">
        <w:rPr>
          <w:rFonts w:ascii="Times New Roman" w:hAnsi="Times New Roman" w:cs="Times New Roman"/>
          <w:b/>
          <w:bCs/>
          <w:color w:val="000000"/>
          <w:vertAlign w:val="superscript"/>
          <w:lang w:val="en-GB"/>
        </w:rPr>
        <w:t xml:space="preserve"> </w:t>
      </w:r>
      <w:r w:rsidRPr="00831243">
        <w:rPr>
          <w:rFonts w:ascii="Times New Roman" w:hAnsi="Times New Roman" w:cs="Times New Roman"/>
          <w:b/>
          <w:bCs/>
          <w:i/>
          <w:iCs/>
          <w:color w:val="000000"/>
          <w:lang w:val="en-GB"/>
        </w:rPr>
        <w:t>ORCID</w:t>
      </w:r>
      <w:r w:rsidRPr="00831243">
        <w:rPr>
          <w:rFonts w:ascii="Times New Roman" w:hAnsi="Times New Roman" w:cs="Times New Roman"/>
          <w:i/>
          <w:iCs/>
          <w:color w:val="000000"/>
          <w:lang w:val="en-GB"/>
        </w:rPr>
        <w:t xml:space="preserve">: </w:t>
      </w:r>
      <w:hyperlink r:id="rId33" w:history="1">
        <w:r w:rsidRPr="003E6A5C">
          <w:rPr>
            <w:rFonts w:ascii="Times New Roman" w:hAnsi="Times New Roman" w:cs="Times New Roman"/>
            <w:i/>
            <w:iCs/>
            <w:color w:val="000000"/>
            <w:lang w:val="en-GB"/>
          </w:rPr>
          <w:t>0000-0002-9884-8119</w:t>
        </w:r>
      </w:hyperlink>
      <w:r w:rsidRPr="00831243">
        <w:rPr>
          <w:rFonts w:ascii="Times New Roman" w:hAnsi="Times New Roman" w:cs="Times New Roman"/>
          <w:i/>
          <w:iCs/>
          <w:color w:val="000000"/>
          <w:lang w:val="en-GB"/>
        </w:rPr>
        <w:t xml:space="preserve">; </w:t>
      </w:r>
      <w:r w:rsidRPr="00831243">
        <w:rPr>
          <w:rFonts w:ascii="Times New Roman" w:hAnsi="Times New Roman" w:cs="Times New Roman"/>
          <w:b/>
          <w:bCs/>
          <w:i/>
          <w:iCs/>
          <w:color w:val="000000"/>
          <w:lang w:val="en-GB"/>
        </w:rPr>
        <w:t>Email</w:t>
      </w:r>
      <w:r w:rsidRPr="00831243">
        <w:rPr>
          <w:rFonts w:ascii="Times New Roman" w:hAnsi="Times New Roman" w:cs="Times New Roman"/>
          <w:i/>
          <w:iCs/>
          <w:color w:val="000000"/>
          <w:lang w:val="en-GB"/>
        </w:rPr>
        <w:t xml:space="preserve"> : </w:t>
      </w:r>
      <w:hyperlink r:id="rId34">
        <w:r w:rsidRPr="002D2141">
          <w:rPr>
            <w:rFonts w:ascii="Times New Roman" w:hAnsi="Times New Roman" w:cs="Times New Roman"/>
            <w:i/>
            <w:iCs/>
            <w:color w:val="0000FF"/>
            <w:lang w:val="en-GB"/>
          </w:rPr>
          <w:t>ghita.radibenjelloun@etu.fstm.ac.ma</w:t>
        </w:r>
      </w:hyperlink>
      <w:r w:rsidRPr="00831243">
        <w:rPr>
          <w:rFonts w:ascii="Times New Roman" w:hAnsi="Times New Roman" w:cs="Times New Roman"/>
          <w:i/>
          <w:iCs/>
          <w:color w:val="000000"/>
          <w:lang w:val="en-GB"/>
        </w:rPr>
        <w:t xml:space="preserve"> </w:t>
      </w:r>
    </w:p>
    <w:p w14:paraId="5CFB8E7B" w14:textId="24D151C4" w:rsidR="007C27F7" w:rsidRPr="00831243" w:rsidRDefault="00CF07B0">
      <w:pPr>
        <w:spacing w:after="0" w:line="360" w:lineRule="auto"/>
        <w:rPr>
          <w:rFonts w:ascii="Times New Roman" w:hAnsi="Times New Roman" w:cs="Times New Roman"/>
          <w:i/>
          <w:iCs/>
          <w:lang w:val="en-GB"/>
        </w:rPr>
      </w:pPr>
      <w:r w:rsidRPr="00831243">
        <w:rPr>
          <w:rFonts w:ascii="Times New Roman" w:hAnsi="Times New Roman" w:cs="Times New Roman"/>
          <w:i/>
          <w:iCs/>
          <w:vertAlign w:val="superscript"/>
          <w:lang w:val="en-GB"/>
        </w:rPr>
        <w:t>c</w:t>
      </w:r>
      <w:r w:rsidRPr="00831243">
        <w:rPr>
          <w:rFonts w:ascii="Times New Roman" w:hAnsi="Times New Roman" w:cs="Times New Roman"/>
          <w:i/>
          <w:iCs/>
          <w:lang w:val="en-GB"/>
        </w:rPr>
        <w:t xml:space="preserve"> </w:t>
      </w:r>
      <w:r w:rsidRPr="00831243">
        <w:rPr>
          <w:rFonts w:ascii="Times New Roman" w:hAnsi="Times New Roman" w:cs="Times New Roman"/>
          <w:b/>
          <w:bCs/>
          <w:i/>
          <w:iCs/>
          <w:lang w:val="en-GB"/>
        </w:rPr>
        <w:t>ORCID</w:t>
      </w:r>
      <w:r w:rsidRPr="003E6A5C">
        <w:rPr>
          <w:rFonts w:ascii="Times New Roman" w:hAnsi="Times New Roman" w:cs="Times New Roman"/>
          <w:i/>
          <w:iCs/>
          <w:color w:val="000000"/>
          <w:lang w:val="en-GB"/>
        </w:rPr>
        <w:t xml:space="preserve">: </w:t>
      </w:r>
      <w:hyperlink r:id="rId35" w:history="1">
        <w:r w:rsidRPr="003E6A5C">
          <w:rPr>
            <w:rFonts w:ascii="Times New Roman" w:hAnsi="Times New Roman" w:cs="Times New Roman"/>
            <w:i/>
            <w:iCs/>
            <w:color w:val="000000"/>
            <w:lang w:val="en-GB"/>
          </w:rPr>
          <w:t>0000-0001-9820-2265</w:t>
        </w:r>
      </w:hyperlink>
      <w:r w:rsidRPr="00831243">
        <w:rPr>
          <w:rFonts w:ascii="Times New Roman" w:hAnsi="Times New Roman" w:cs="Times New Roman"/>
          <w:i/>
          <w:iCs/>
          <w:lang w:val="en-GB"/>
        </w:rPr>
        <w:t xml:space="preserve">; </w:t>
      </w:r>
      <w:r w:rsidRPr="00831243">
        <w:rPr>
          <w:rFonts w:ascii="Times New Roman" w:hAnsi="Times New Roman" w:cs="Times New Roman"/>
          <w:b/>
          <w:bCs/>
          <w:i/>
          <w:iCs/>
          <w:lang w:val="en-GB"/>
        </w:rPr>
        <w:t>Email:</w:t>
      </w:r>
      <w:r w:rsidRPr="00831243">
        <w:rPr>
          <w:rFonts w:ascii="Times New Roman" w:hAnsi="Times New Roman" w:cs="Times New Roman"/>
          <w:i/>
          <w:iCs/>
          <w:lang w:val="en-GB"/>
        </w:rPr>
        <w:t xml:space="preserve"> </w:t>
      </w:r>
      <w:hyperlink r:id="rId36">
        <w:r w:rsidRPr="00831243">
          <w:rPr>
            <w:rFonts w:ascii="Times New Roman" w:hAnsi="Times New Roman" w:cs="Times New Roman"/>
            <w:i/>
            <w:iCs/>
            <w:color w:val="0000FF"/>
            <w:lang w:val="en-GB"/>
          </w:rPr>
          <w:t>khawla.waddi@etu.fstm.ac.ma</w:t>
        </w:r>
      </w:hyperlink>
      <w:r w:rsidRPr="00831243">
        <w:rPr>
          <w:rFonts w:ascii="Times New Roman" w:hAnsi="Times New Roman" w:cs="Times New Roman"/>
          <w:i/>
          <w:iCs/>
          <w:lang w:val="en-GB"/>
        </w:rPr>
        <w:t xml:space="preserve"> </w:t>
      </w:r>
    </w:p>
    <w:p w14:paraId="3995DF7F" w14:textId="77777777" w:rsidR="007C27F7" w:rsidRPr="00831243" w:rsidRDefault="00CF07B0">
      <w:pPr>
        <w:tabs>
          <w:tab w:val="left" w:pos="0"/>
          <w:tab w:val="left" w:pos="8505"/>
        </w:tabs>
        <w:spacing w:after="120" w:line="240" w:lineRule="auto"/>
        <w:rPr>
          <w:rFonts w:ascii="Times New Roman" w:hAnsi="Times New Roman" w:cs="Times New Roman"/>
          <w:i/>
          <w:iCs/>
          <w:color w:val="0000FF"/>
          <w:lang w:val="en-GB"/>
        </w:rPr>
      </w:pPr>
      <w:r w:rsidRPr="00831243">
        <w:rPr>
          <w:rFonts w:ascii="Times New Roman" w:hAnsi="Times New Roman" w:cs="Times New Roman"/>
          <w:i/>
          <w:iCs/>
          <w:vertAlign w:val="superscript"/>
          <w:lang w:val="en-GB"/>
        </w:rPr>
        <w:t xml:space="preserve">d </w:t>
      </w:r>
      <w:r w:rsidRPr="00831243">
        <w:rPr>
          <w:rFonts w:ascii="Times New Roman" w:hAnsi="Times New Roman" w:cs="Times New Roman"/>
          <w:b/>
          <w:bCs/>
          <w:i/>
          <w:iCs/>
          <w:lang w:val="en-GB"/>
        </w:rPr>
        <w:t>ORCID:</w:t>
      </w:r>
      <w:r w:rsidRPr="00831243">
        <w:rPr>
          <w:rFonts w:ascii="Times New Roman" w:hAnsi="Times New Roman" w:cs="Times New Roman"/>
          <w:i/>
          <w:iCs/>
          <w:color w:val="000000"/>
          <w:lang w:val="en-GB"/>
        </w:rPr>
        <w:t xml:space="preserve"> </w:t>
      </w:r>
      <w:hyperlink r:id="rId37">
        <w:r w:rsidRPr="00831243">
          <w:rPr>
            <w:rFonts w:ascii="Times New Roman" w:hAnsi="Times New Roman" w:cs="Times New Roman"/>
            <w:i/>
            <w:iCs/>
            <w:color w:val="000000"/>
            <w:lang w:val="en-GB"/>
          </w:rPr>
          <w:t>0000-0002-1996-8607</w:t>
        </w:r>
      </w:hyperlink>
      <w:r w:rsidRPr="00831243">
        <w:rPr>
          <w:rFonts w:ascii="Times New Roman" w:hAnsi="Times New Roman" w:cs="Times New Roman"/>
          <w:i/>
          <w:iCs/>
          <w:lang w:val="en-GB"/>
        </w:rPr>
        <w:t xml:space="preserve">; </w:t>
      </w:r>
      <w:r w:rsidRPr="00831243">
        <w:rPr>
          <w:rFonts w:ascii="Times New Roman" w:hAnsi="Times New Roman" w:cs="Times New Roman"/>
          <w:b/>
          <w:bCs/>
          <w:i/>
          <w:iCs/>
          <w:lang w:val="en-GB"/>
        </w:rPr>
        <w:t>Email</w:t>
      </w:r>
      <w:r w:rsidRPr="00831243">
        <w:rPr>
          <w:rFonts w:ascii="Times New Roman" w:hAnsi="Times New Roman" w:cs="Times New Roman"/>
          <w:i/>
          <w:iCs/>
          <w:lang w:val="en-GB"/>
        </w:rPr>
        <w:t>:</w:t>
      </w:r>
      <w:r w:rsidRPr="00831243">
        <w:rPr>
          <w:rFonts w:ascii="Times New Roman" w:hAnsi="Times New Roman" w:cs="Times New Roman"/>
          <w:i/>
          <w:iCs/>
          <w:color w:val="0000FF"/>
          <w:lang w:val="en-GB"/>
        </w:rPr>
        <w:t xml:space="preserve"> </w:t>
      </w:r>
      <w:hyperlink r:id="rId38">
        <w:r w:rsidRPr="00831243">
          <w:rPr>
            <w:rFonts w:ascii="Times New Roman" w:hAnsi="Times New Roman" w:cs="Times New Roman"/>
            <w:i/>
            <w:iCs/>
            <w:color w:val="0000FF"/>
            <w:lang w:val="en-GB"/>
          </w:rPr>
          <w:t>fatima.boutaleb2-etu@etu.univh2c.ma</w:t>
        </w:r>
      </w:hyperlink>
    </w:p>
    <w:p w14:paraId="45ABEAAC" w14:textId="77777777" w:rsidR="007C27F7" w:rsidRPr="00831243" w:rsidRDefault="00CF07B0">
      <w:pPr>
        <w:spacing w:after="0" w:line="360" w:lineRule="auto"/>
        <w:rPr>
          <w:rFonts w:ascii="Times New Roman" w:hAnsi="Times New Roman" w:cs="Times New Roman"/>
          <w:i/>
          <w:iCs/>
          <w:color w:val="467886"/>
          <w:u w:val="single"/>
          <w:lang w:val="en-GB"/>
        </w:rPr>
      </w:pPr>
      <w:r w:rsidRPr="00831243">
        <w:rPr>
          <w:rFonts w:ascii="Times New Roman" w:hAnsi="Times New Roman" w:cs="Times New Roman"/>
          <w:b/>
          <w:bCs/>
          <w:i/>
          <w:iCs/>
          <w:color w:val="000000"/>
          <w:vertAlign w:val="superscript"/>
          <w:lang w:val="en-GB"/>
        </w:rPr>
        <w:t xml:space="preserve">e </w:t>
      </w:r>
      <w:r w:rsidRPr="00831243">
        <w:rPr>
          <w:rFonts w:ascii="Times New Roman" w:hAnsi="Times New Roman" w:cs="Times New Roman"/>
          <w:b/>
          <w:bCs/>
          <w:i/>
          <w:iCs/>
          <w:color w:val="000000"/>
          <w:lang w:val="en-GB"/>
        </w:rPr>
        <w:t>ORCID:</w:t>
      </w:r>
      <w:r w:rsidRPr="00831243">
        <w:rPr>
          <w:rFonts w:ascii="Times New Roman" w:hAnsi="Times New Roman" w:cs="Times New Roman"/>
          <w:i/>
          <w:iCs/>
          <w:color w:val="000000"/>
          <w:lang w:val="en-GB"/>
        </w:rPr>
        <w:t xml:space="preserve"> </w:t>
      </w:r>
      <w:hyperlink r:id="rId39">
        <w:r w:rsidRPr="00375ECA">
          <w:rPr>
            <w:rFonts w:ascii="Times New Roman" w:hAnsi="Times New Roman" w:cs="Times New Roman"/>
            <w:i/>
            <w:iCs/>
            <w:color w:val="000000"/>
            <w:lang w:val="en-GB"/>
          </w:rPr>
          <w:t>0009-0001-1921-3159</w:t>
        </w:r>
      </w:hyperlink>
      <w:r w:rsidRPr="00831243">
        <w:rPr>
          <w:rFonts w:ascii="Times New Roman" w:hAnsi="Times New Roman" w:cs="Times New Roman"/>
          <w:i/>
          <w:iCs/>
          <w:lang w:val="en-GB"/>
        </w:rPr>
        <w:t xml:space="preserve">; </w:t>
      </w:r>
      <w:r w:rsidRPr="00831243">
        <w:rPr>
          <w:rFonts w:ascii="Times New Roman" w:hAnsi="Times New Roman" w:cs="Times New Roman"/>
          <w:b/>
          <w:bCs/>
          <w:i/>
          <w:iCs/>
          <w:color w:val="000000"/>
          <w:lang w:val="en-GB"/>
        </w:rPr>
        <w:t xml:space="preserve">Email: </w:t>
      </w:r>
      <w:hyperlink r:id="rId40">
        <w:r w:rsidRPr="000B4AC8">
          <w:rPr>
            <w:rFonts w:ascii="Times New Roman" w:hAnsi="Times New Roman" w:cs="Times New Roman"/>
            <w:i/>
            <w:iCs/>
            <w:color w:val="0000FF"/>
            <w:lang w:val="en-GB"/>
          </w:rPr>
          <w:t>r</w:t>
        </w:r>
      </w:hyperlink>
      <w:hyperlink r:id="rId41">
        <w:r w:rsidRPr="00831243">
          <w:rPr>
            <w:rFonts w:ascii="Times New Roman" w:hAnsi="Times New Roman" w:cs="Times New Roman"/>
            <w:i/>
            <w:iCs/>
            <w:color w:val="0000FF"/>
            <w:lang w:val="en-GB"/>
          </w:rPr>
          <w:t>ajaa.tesse-etu@etu.univh2c.ma</w:t>
        </w:r>
      </w:hyperlink>
    </w:p>
    <w:p w14:paraId="6F5692A9" w14:textId="40FC3027" w:rsidR="007C27F7" w:rsidRDefault="00CF07B0">
      <w:pPr>
        <w:tabs>
          <w:tab w:val="left" w:pos="0"/>
          <w:tab w:val="left" w:pos="8505"/>
        </w:tabs>
        <w:spacing w:after="120" w:line="240" w:lineRule="auto"/>
        <w:rPr>
          <w:rFonts w:ascii="Times New Roman" w:hAnsi="Times New Roman" w:cs="Times New Roman"/>
          <w:i/>
          <w:iCs/>
          <w:color w:val="0000FF"/>
          <w:lang w:val="en-GB"/>
        </w:rPr>
      </w:pPr>
      <w:r w:rsidRPr="00831243">
        <w:rPr>
          <w:rFonts w:ascii="Times New Roman" w:hAnsi="Times New Roman" w:cs="Times New Roman"/>
          <w:i/>
          <w:iCs/>
          <w:vertAlign w:val="superscript"/>
          <w:lang w:val="en-GB"/>
        </w:rPr>
        <w:t xml:space="preserve">f </w:t>
      </w:r>
      <w:r w:rsidRPr="00831243">
        <w:rPr>
          <w:rFonts w:ascii="Times New Roman" w:hAnsi="Times New Roman" w:cs="Times New Roman"/>
          <w:b/>
          <w:bCs/>
          <w:i/>
          <w:iCs/>
          <w:lang w:val="en-GB"/>
        </w:rPr>
        <w:t>ORCID:</w:t>
      </w:r>
      <w:r w:rsidRPr="00831243">
        <w:rPr>
          <w:rFonts w:ascii="Times New Roman" w:hAnsi="Times New Roman" w:cs="Times New Roman"/>
          <w:i/>
          <w:iCs/>
          <w:color w:val="222222"/>
          <w:lang w:val="en-GB"/>
        </w:rPr>
        <w:t> </w:t>
      </w:r>
      <w:hyperlink r:id="rId42">
        <w:r w:rsidRPr="00831243">
          <w:rPr>
            <w:rFonts w:ascii="Times New Roman" w:hAnsi="Times New Roman" w:cs="Times New Roman"/>
            <w:i/>
            <w:iCs/>
            <w:color w:val="000000"/>
            <w:lang w:val="en-GB"/>
          </w:rPr>
          <w:t>0009-0004-4591-8269</w:t>
        </w:r>
      </w:hyperlink>
      <w:r w:rsidRPr="00831243">
        <w:rPr>
          <w:rFonts w:ascii="Times New Roman" w:hAnsi="Times New Roman" w:cs="Times New Roman"/>
          <w:i/>
          <w:iCs/>
          <w:lang w:val="en-GB"/>
        </w:rPr>
        <w:t xml:space="preserve">; </w:t>
      </w:r>
      <w:r w:rsidRPr="00831243">
        <w:rPr>
          <w:rFonts w:ascii="Times New Roman" w:hAnsi="Times New Roman" w:cs="Times New Roman"/>
          <w:b/>
          <w:bCs/>
          <w:i/>
          <w:iCs/>
          <w:lang w:val="en-GB"/>
        </w:rPr>
        <w:t>Email</w:t>
      </w:r>
      <w:r w:rsidRPr="00831243">
        <w:rPr>
          <w:rFonts w:ascii="Times New Roman" w:hAnsi="Times New Roman" w:cs="Times New Roman"/>
          <w:i/>
          <w:iCs/>
          <w:lang w:val="en-GB"/>
        </w:rPr>
        <w:t>:</w:t>
      </w:r>
      <w:r w:rsidRPr="00831243">
        <w:rPr>
          <w:rFonts w:ascii="Times New Roman" w:hAnsi="Times New Roman" w:cs="Times New Roman"/>
          <w:i/>
          <w:iCs/>
          <w:color w:val="0000FF"/>
          <w:lang w:val="en-GB"/>
        </w:rPr>
        <w:t xml:space="preserve"> </w:t>
      </w:r>
      <w:hyperlink r:id="rId43">
        <w:r w:rsidRPr="00831243">
          <w:rPr>
            <w:rFonts w:ascii="Times New Roman" w:hAnsi="Times New Roman" w:cs="Times New Roman"/>
            <w:i/>
            <w:iCs/>
            <w:color w:val="0000FF"/>
            <w:lang w:val="en-GB"/>
          </w:rPr>
          <w:t>ikramegp2017@gmail.com</w:t>
        </w:r>
      </w:hyperlink>
    </w:p>
    <w:p w14:paraId="11EE311D" w14:textId="1EF76B22" w:rsidR="004725D2" w:rsidRDefault="00CC49DD" w:rsidP="004725D2">
      <w:pPr>
        <w:tabs>
          <w:tab w:val="left" w:pos="0"/>
          <w:tab w:val="left" w:pos="8505"/>
        </w:tabs>
        <w:spacing w:after="120" w:line="240" w:lineRule="auto"/>
        <w:rPr>
          <w:rFonts w:ascii="Times New Roman" w:hAnsi="Times New Roman" w:cs="Times New Roman"/>
          <w:i/>
          <w:iCs/>
          <w:color w:val="000000"/>
          <w:lang w:val="en-GB"/>
        </w:rPr>
      </w:pPr>
      <w:r>
        <w:rPr>
          <w:rFonts w:ascii="Times New Roman" w:hAnsi="Times New Roman" w:cs="Times New Roman"/>
          <w:i/>
          <w:iCs/>
          <w:vertAlign w:val="superscript"/>
          <w:lang w:val="en-GB"/>
        </w:rPr>
        <w:t>g</w:t>
      </w:r>
      <w:r w:rsidRPr="00831243">
        <w:rPr>
          <w:rFonts w:ascii="Times New Roman" w:hAnsi="Times New Roman" w:cs="Times New Roman"/>
          <w:i/>
          <w:iCs/>
          <w:vertAlign w:val="superscript"/>
          <w:lang w:val="en-GB"/>
        </w:rPr>
        <w:t xml:space="preserve"> </w:t>
      </w:r>
      <w:r w:rsidRPr="00831243">
        <w:rPr>
          <w:rFonts w:ascii="Times New Roman" w:hAnsi="Times New Roman" w:cs="Times New Roman"/>
          <w:b/>
          <w:bCs/>
          <w:i/>
          <w:iCs/>
          <w:lang w:val="en-GB"/>
        </w:rPr>
        <w:t>ORCID</w:t>
      </w:r>
      <w:r w:rsidRPr="004725D2">
        <w:rPr>
          <w:rFonts w:ascii="Times New Roman" w:hAnsi="Times New Roman" w:cs="Times New Roman"/>
          <w:i/>
          <w:iCs/>
          <w:color w:val="000000"/>
          <w:lang w:val="en-GB"/>
        </w:rPr>
        <w:t>: </w:t>
      </w:r>
      <w:hyperlink r:id="rId44" w:history="1">
        <w:r w:rsidR="004725D2" w:rsidRPr="004725D2">
          <w:rPr>
            <w:rFonts w:ascii="Times New Roman" w:hAnsi="Times New Roman" w:cs="Times New Roman"/>
            <w:i/>
            <w:iCs/>
            <w:color w:val="000000"/>
            <w:lang w:val="en-GB"/>
          </w:rPr>
          <w:t>0009-0002-2682-2478</w:t>
        </w:r>
      </w:hyperlink>
      <w:r w:rsidRPr="004725D2">
        <w:rPr>
          <w:rFonts w:ascii="Times New Roman" w:hAnsi="Times New Roman" w:cs="Times New Roman"/>
          <w:i/>
          <w:iCs/>
          <w:color w:val="000000"/>
          <w:lang w:val="en-GB"/>
        </w:rPr>
        <w:t>;</w:t>
      </w:r>
      <w:r w:rsidRPr="00831243">
        <w:rPr>
          <w:rFonts w:ascii="Times New Roman" w:hAnsi="Times New Roman" w:cs="Times New Roman"/>
          <w:i/>
          <w:iCs/>
          <w:lang w:val="en-GB"/>
        </w:rPr>
        <w:t xml:space="preserve"> </w:t>
      </w:r>
      <w:r w:rsidRPr="00831243">
        <w:rPr>
          <w:rFonts w:ascii="Times New Roman" w:hAnsi="Times New Roman" w:cs="Times New Roman"/>
          <w:b/>
          <w:bCs/>
          <w:i/>
          <w:iCs/>
          <w:lang w:val="en-GB"/>
        </w:rPr>
        <w:t>Email</w:t>
      </w:r>
      <w:r w:rsidRPr="00831243">
        <w:rPr>
          <w:rFonts w:ascii="Times New Roman" w:hAnsi="Times New Roman" w:cs="Times New Roman"/>
          <w:i/>
          <w:iCs/>
          <w:lang w:val="en-GB"/>
        </w:rPr>
        <w:t>:</w:t>
      </w:r>
      <w:r w:rsidRPr="00831243">
        <w:rPr>
          <w:rFonts w:ascii="Times New Roman" w:hAnsi="Times New Roman" w:cs="Times New Roman"/>
          <w:i/>
          <w:iCs/>
          <w:color w:val="0000FF"/>
          <w:lang w:val="en-GB"/>
        </w:rPr>
        <w:t xml:space="preserve"> </w:t>
      </w:r>
      <w:hyperlink r:id="rId45" w:history="1">
        <w:r w:rsidR="004725D2" w:rsidRPr="00855E27">
          <w:rPr>
            <w:rStyle w:val="Lienhypertexte"/>
            <w:rFonts w:ascii="Times New Roman" w:hAnsi="Times New Roman" w:cs="Times New Roman"/>
            <w:i/>
            <w:iCs/>
            <w:u w:val="none"/>
            <w:lang w:val="en-GB"/>
          </w:rPr>
          <w:t>meriem.mahmoudi2-etu@etu.univh2c.ma</w:t>
        </w:r>
      </w:hyperlink>
    </w:p>
    <w:p w14:paraId="674556DA" w14:textId="780776E1" w:rsidR="007C27F7" w:rsidRPr="00831243" w:rsidRDefault="00CC49DD">
      <w:pPr>
        <w:tabs>
          <w:tab w:val="left" w:pos="0"/>
          <w:tab w:val="left" w:pos="8505"/>
        </w:tabs>
        <w:spacing w:after="120" w:line="240" w:lineRule="auto"/>
        <w:rPr>
          <w:rFonts w:ascii="Times New Roman" w:hAnsi="Times New Roman" w:cs="Times New Roman"/>
          <w:i/>
          <w:iCs/>
          <w:color w:val="0000FF"/>
          <w:lang w:val="en-GB"/>
        </w:rPr>
      </w:pPr>
      <w:r>
        <w:rPr>
          <w:rFonts w:ascii="Times New Roman" w:hAnsi="Times New Roman" w:cs="Times New Roman"/>
          <w:i/>
          <w:iCs/>
          <w:vertAlign w:val="superscript"/>
          <w:lang w:val="en-GB"/>
        </w:rPr>
        <w:t>h</w:t>
      </w:r>
      <w:r w:rsidR="00473BD7">
        <w:rPr>
          <w:rFonts w:ascii="Times New Roman" w:hAnsi="Times New Roman" w:cs="Times New Roman"/>
          <w:i/>
          <w:iCs/>
          <w:vertAlign w:val="superscript"/>
          <w:lang w:val="en-GB"/>
        </w:rPr>
        <w:t xml:space="preserve"> </w:t>
      </w:r>
      <w:r w:rsidR="00CF07B0" w:rsidRPr="00831243">
        <w:rPr>
          <w:rFonts w:ascii="Times New Roman" w:hAnsi="Times New Roman" w:cs="Times New Roman"/>
          <w:b/>
          <w:bCs/>
          <w:i/>
          <w:iCs/>
          <w:lang w:val="en-GB"/>
        </w:rPr>
        <w:t>ORCID</w:t>
      </w:r>
      <w:r w:rsidR="00CF07B0" w:rsidRPr="00831243">
        <w:rPr>
          <w:rFonts w:ascii="Times New Roman" w:hAnsi="Times New Roman" w:cs="Times New Roman"/>
          <w:i/>
          <w:iCs/>
          <w:color w:val="000000"/>
          <w:lang w:val="en-GB"/>
        </w:rPr>
        <w:t xml:space="preserve">: </w:t>
      </w:r>
      <w:hyperlink r:id="rId46">
        <w:r w:rsidR="00CF07B0" w:rsidRPr="00831243">
          <w:rPr>
            <w:rFonts w:ascii="Times New Roman" w:hAnsi="Times New Roman" w:cs="Times New Roman"/>
            <w:i/>
            <w:iCs/>
            <w:color w:val="000000"/>
            <w:lang w:val="en-GB"/>
          </w:rPr>
          <w:t>0000-0002-0976-1274</w:t>
        </w:r>
      </w:hyperlink>
      <w:r w:rsidR="00CF07B0" w:rsidRPr="00831243">
        <w:rPr>
          <w:rFonts w:ascii="Times New Roman" w:hAnsi="Times New Roman" w:cs="Times New Roman"/>
          <w:i/>
          <w:iCs/>
          <w:lang w:val="en-GB"/>
        </w:rPr>
        <w:t xml:space="preserve">; </w:t>
      </w:r>
      <w:r w:rsidR="00CF07B0" w:rsidRPr="00831243">
        <w:rPr>
          <w:rFonts w:ascii="Times New Roman" w:hAnsi="Times New Roman" w:cs="Times New Roman"/>
          <w:b/>
          <w:bCs/>
          <w:i/>
          <w:iCs/>
          <w:lang w:val="en-GB"/>
        </w:rPr>
        <w:t>Email</w:t>
      </w:r>
      <w:r w:rsidR="00CF07B0" w:rsidRPr="00831243">
        <w:rPr>
          <w:rFonts w:ascii="Times New Roman" w:hAnsi="Times New Roman" w:cs="Times New Roman"/>
          <w:i/>
          <w:iCs/>
          <w:color w:val="000000"/>
          <w:lang w:val="en-GB"/>
        </w:rPr>
        <w:t xml:space="preserve">: </w:t>
      </w:r>
      <w:hyperlink r:id="rId47">
        <w:r w:rsidR="00CF07B0" w:rsidRPr="00831243">
          <w:rPr>
            <w:rFonts w:ascii="Times New Roman" w:hAnsi="Times New Roman" w:cs="Times New Roman"/>
            <w:i/>
            <w:iCs/>
            <w:color w:val="0000FF"/>
            <w:lang w:val="en-GB"/>
          </w:rPr>
          <w:t>b.bahlaouan@ispitscasa.ac.ma</w:t>
        </w:r>
      </w:hyperlink>
    </w:p>
    <w:p w14:paraId="6A21D3F7" w14:textId="1633FFC4" w:rsidR="007C27F7" w:rsidRPr="00831243" w:rsidRDefault="00CC49DD">
      <w:pPr>
        <w:tabs>
          <w:tab w:val="left" w:pos="0"/>
          <w:tab w:val="left" w:pos="8505"/>
        </w:tabs>
        <w:spacing w:after="120" w:line="240" w:lineRule="auto"/>
        <w:rPr>
          <w:rFonts w:ascii="Times New Roman" w:hAnsi="Times New Roman" w:cs="Times New Roman"/>
          <w:i/>
          <w:iCs/>
          <w:color w:val="0000FF"/>
          <w:lang w:val="en-GB"/>
        </w:rPr>
      </w:pPr>
      <w:r>
        <w:rPr>
          <w:rFonts w:ascii="Times New Roman" w:hAnsi="Times New Roman" w:cs="Times New Roman"/>
          <w:i/>
          <w:iCs/>
          <w:vertAlign w:val="superscript"/>
          <w:lang w:val="en-GB"/>
        </w:rPr>
        <w:t>i</w:t>
      </w:r>
      <w:r w:rsidR="00CF07B0" w:rsidRPr="00831243">
        <w:rPr>
          <w:rFonts w:ascii="Times New Roman" w:hAnsi="Times New Roman" w:cs="Times New Roman"/>
          <w:b/>
          <w:bCs/>
          <w:i/>
          <w:iCs/>
          <w:lang w:val="en-GB"/>
        </w:rPr>
        <w:t xml:space="preserve"> ORCID</w:t>
      </w:r>
      <w:r w:rsidR="00CF07B0" w:rsidRPr="00831243">
        <w:rPr>
          <w:rFonts w:ascii="Times New Roman" w:hAnsi="Times New Roman" w:cs="Times New Roman"/>
          <w:i/>
          <w:iCs/>
          <w:color w:val="000000"/>
          <w:lang w:val="en-GB"/>
        </w:rPr>
        <w:t xml:space="preserve">: </w:t>
      </w:r>
      <w:hyperlink r:id="rId48">
        <w:r w:rsidR="00CF07B0" w:rsidRPr="00831243">
          <w:rPr>
            <w:rFonts w:ascii="Times New Roman" w:hAnsi="Times New Roman" w:cs="Times New Roman"/>
            <w:i/>
            <w:iCs/>
            <w:color w:val="000000"/>
            <w:lang w:val="en-GB"/>
          </w:rPr>
          <w:t>0000-0003-1628-4311</w:t>
        </w:r>
      </w:hyperlink>
      <w:r w:rsidR="00CF07B0" w:rsidRPr="00831243">
        <w:rPr>
          <w:rFonts w:ascii="Times New Roman" w:hAnsi="Times New Roman" w:cs="Times New Roman"/>
          <w:i/>
          <w:iCs/>
          <w:lang w:val="en-GB"/>
        </w:rPr>
        <w:t xml:space="preserve">; </w:t>
      </w:r>
      <w:r w:rsidR="00CF07B0" w:rsidRPr="00831243">
        <w:rPr>
          <w:rFonts w:ascii="Times New Roman" w:hAnsi="Times New Roman" w:cs="Times New Roman"/>
          <w:b/>
          <w:bCs/>
          <w:i/>
          <w:iCs/>
          <w:lang w:val="en-GB"/>
        </w:rPr>
        <w:t>Email</w:t>
      </w:r>
      <w:r w:rsidR="00CF07B0" w:rsidRPr="00831243">
        <w:rPr>
          <w:rFonts w:ascii="Times New Roman" w:hAnsi="Times New Roman" w:cs="Times New Roman"/>
          <w:i/>
          <w:iCs/>
          <w:color w:val="0000FF"/>
          <w:lang w:val="en-GB"/>
        </w:rPr>
        <w:t xml:space="preserve">: </w:t>
      </w:r>
      <w:hyperlink r:id="rId49">
        <w:r w:rsidR="00CF07B0" w:rsidRPr="00831243">
          <w:rPr>
            <w:rFonts w:ascii="Times New Roman" w:hAnsi="Times New Roman" w:cs="Times New Roman"/>
            <w:i/>
            <w:iCs/>
            <w:color w:val="0000FF"/>
            <w:lang w:val="en-GB"/>
          </w:rPr>
          <w:t>nadia.boutaleb@fstm.ac.ma</w:t>
        </w:r>
      </w:hyperlink>
    </w:p>
    <w:p w14:paraId="2ECDA4B7" w14:textId="2296D9AD" w:rsidR="007C27F7" w:rsidRPr="00831243" w:rsidRDefault="004D13BB" w:rsidP="004D13BB">
      <w:pPr>
        <w:tabs>
          <w:tab w:val="left" w:pos="0"/>
          <w:tab w:val="left" w:pos="3310"/>
        </w:tabs>
        <w:spacing w:after="120" w:line="240" w:lineRule="auto"/>
        <w:rPr>
          <w:rFonts w:ascii="Times New Roman" w:hAnsi="Times New Roman" w:cs="Times New Roman"/>
          <w:i/>
          <w:iCs/>
          <w:color w:val="0000FF"/>
          <w:sz w:val="24"/>
          <w:szCs w:val="24"/>
          <w:lang w:val="en-GB"/>
        </w:rPr>
      </w:pPr>
      <w:r>
        <w:rPr>
          <w:rFonts w:ascii="Times New Roman" w:hAnsi="Times New Roman" w:cs="Times New Roman"/>
          <w:i/>
          <w:iCs/>
          <w:color w:val="0000FF"/>
          <w:sz w:val="24"/>
          <w:szCs w:val="24"/>
          <w:lang w:val="en-GB"/>
        </w:rPr>
        <w:tab/>
      </w:r>
    </w:p>
    <w:p w14:paraId="2234CF3B" w14:textId="77777777" w:rsidR="007C27F7" w:rsidRPr="00831243" w:rsidRDefault="00CF07B0">
      <w:pPr>
        <w:rPr>
          <w:rFonts w:ascii="Times New Roman" w:hAnsi="Times New Roman" w:cs="Times New Roman"/>
          <w:i/>
          <w:iCs/>
          <w:color w:val="000000"/>
          <w:lang w:val="en-GB"/>
        </w:rPr>
      </w:pPr>
      <w:r w:rsidRPr="003B18E7">
        <w:rPr>
          <w:rFonts w:ascii="Times New Roman" w:hAnsi="Times New Roman" w:cs="Times New Roman"/>
          <w:noProof/>
        </w:rPr>
        <mc:AlternateContent>
          <mc:Choice Requires="wps">
            <w:drawing>
              <wp:anchor distT="0" distB="0" distL="114300" distR="114300" simplePos="0" relativeHeight="251660288" behindDoc="0" locked="0" layoutInCell="1" hidden="0" allowOverlap="1" wp14:anchorId="09C0B061" wp14:editId="73802ED4">
                <wp:simplePos x="0" y="0"/>
                <wp:positionH relativeFrom="column">
                  <wp:posOffset>1270</wp:posOffset>
                </wp:positionH>
                <wp:positionV relativeFrom="paragraph">
                  <wp:posOffset>247015</wp:posOffset>
                </wp:positionV>
                <wp:extent cx="850900" cy="0"/>
                <wp:effectExtent l="0" t="0" r="25400" b="19050"/>
                <wp:wrapNone/>
                <wp:docPr id="1" name="Connecteur droit avec flèche 1"/>
                <wp:cNvGraphicFramePr/>
                <a:graphic xmlns:a="http://schemas.openxmlformats.org/drawingml/2006/main">
                  <a:graphicData uri="http://schemas.microsoft.com/office/word/2010/wordprocessingShape">
                    <wps:wsp>
                      <wps:cNvCnPr/>
                      <wps:spPr>
                        <a:xfrm>
                          <a:off x="0" y="0"/>
                          <a:ext cx="850900" cy="0"/>
                        </a:xfrm>
                        <a:prstGeom prst="straightConnector1">
                          <a:avLst/>
                        </a:prstGeom>
                        <a:noFill/>
                        <a:ln w="9525" cap="flat" cmpd="sng">
                          <a:solidFill>
                            <a:srgbClr val="002060"/>
                          </a:solidFill>
                          <a:prstDash val="solid"/>
                          <a:round/>
                          <a:headEnd type="none" w="sm" len="sm"/>
                          <a:tailEnd type="none" w="sm" len="sm"/>
                        </a:ln>
                      </wps:spPr>
                      <wps:bodyPr/>
                    </wps:wsp>
                  </a:graphicData>
                </a:graphic>
                <wp14:sizeRelV relativeFrom="margin">
                  <wp14:pctHeight>0</wp14:pctHeight>
                </wp14:sizeRelV>
              </wp:anchor>
            </w:drawing>
          </mc:Choice>
          <mc:Fallback>
            <w:pict>
              <v:shapetype w14:anchorId="34B89060" id="_x0000_t32" coordsize="21600,21600" o:spt="32" o:oned="t" path="m,l21600,21600e" filled="f">
                <v:path arrowok="t" fillok="f" o:connecttype="none"/>
                <o:lock v:ext="edit" shapetype="t"/>
              </v:shapetype>
              <v:shape id="Connecteur droit avec flèche 1" o:spid="_x0000_s1026" type="#_x0000_t32" style="position:absolute;margin-left:.1pt;margin-top:19.45pt;width:67pt;height:0;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" strokecolor="#002060">
                <v:stroke startarrowwidth="narrow" startarrowlength="short" endarrowwidth="narrow" endarrowlength="short"/>
              </v:shape>
            </w:pict>
          </mc:Fallback>
        </mc:AlternateContent>
      </w:r>
    </w:p>
    <w:p w14:paraId="5EFEE099" w14:textId="53143F9B" w:rsidR="007C27F7" w:rsidRPr="00831243" w:rsidRDefault="003B18E7">
      <w:pPr>
        <w:spacing w:after="0" w:line="240" w:lineRule="auto"/>
        <w:rPr>
          <w:rFonts w:ascii="Times New Roman" w:hAnsi="Times New Roman" w:cs="Times New Roman"/>
          <w:b/>
          <w:bCs/>
          <w:color w:val="0000FF"/>
          <w:lang w:val="en-GB"/>
        </w:rPr>
      </w:pPr>
      <w:r w:rsidRPr="00831243">
        <w:rPr>
          <w:rFonts w:ascii="Times New Roman" w:hAnsi="Times New Roman" w:cs="Times New Roman"/>
          <w:b/>
          <w:bCs/>
          <w:i/>
          <w:iCs/>
          <w:color w:val="000000"/>
          <w:lang w:val="en-GB"/>
        </w:rPr>
        <w:t>*</w:t>
      </w:r>
      <w:r w:rsidR="00CF07B0" w:rsidRPr="00831243">
        <w:rPr>
          <w:rFonts w:ascii="Times New Roman" w:hAnsi="Times New Roman" w:cs="Times New Roman"/>
          <w:b/>
          <w:bCs/>
          <w:i/>
          <w:iCs/>
          <w:color w:val="000000"/>
          <w:lang w:val="en-GB"/>
        </w:rPr>
        <w:t>Corresponding author:</w:t>
      </w:r>
      <w:r w:rsidR="00CF07B0" w:rsidRPr="00831243">
        <w:rPr>
          <w:rFonts w:ascii="Times New Roman" w:hAnsi="Times New Roman" w:cs="Times New Roman"/>
          <w:b/>
          <w:bCs/>
          <w:color w:val="000000"/>
          <w:lang w:val="en-GB"/>
        </w:rPr>
        <w:t xml:space="preserve"> </w:t>
      </w:r>
      <w:hyperlink r:id="rId50">
        <w:r w:rsidR="00CF07B0" w:rsidRPr="00831243">
          <w:rPr>
            <w:rFonts w:ascii="Times New Roman" w:hAnsi="Times New Roman" w:cs="Times New Roman"/>
            <w:lang w:val="en-GB"/>
          </w:rPr>
          <w:t>Nadia Boutaleb</w:t>
        </w:r>
      </w:hyperlink>
      <w:r w:rsidR="004D13BB" w:rsidRPr="003B18E7">
        <w:rPr>
          <w:rFonts w:ascii="Times New Roman" w:hAnsi="Times New Roman" w:cs="Times New Roman"/>
          <w:noProof/>
        </w:rPr>
        <w:drawing>
          <wp:inline distT="0" distB="0" distL="0" distR="0" wp14:anchorId="4AD90D1A" wp14:editId="03D87897">
            <wp:extent cx="120666" cy="120666"/>
            <wp:effectExtent l="0" t="0" r="0" b="0"/>
            <wp:docPr id="24" name="image8.png">
              <a:hlinkClick xmlns:a="http://schemas.openxmlformats.org/drawingml/2006/main" r:id="rId48"/>
            </wp:docPr>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0666" cy="120666"/>
                    </a:xfrm>
                    <a:prstGeom prst="rect">
                      <a:avLst/>
                    </a:prstGeom>
                    <a:ln/>
                  </pic:spPr>
                </pic:pic>
              </a:graphicData>
            </a:graphic>
          </wp:inline>
        </w:drawing>
      </w:r>
      <w:r w:rsidR="00CF07B0" w:rsidRPr="00831243">
        <w:rPr>
          <w:rFonts w:ascii="Times New Roman" w:hAnsi="Times New Roman" w:cs="Times New Roman"/>
          <w:color w:val="000000"/>
          <w:lang w:val="en-GB"/>
        </w:rPr>
        <w:t xml:space="preserve">; </w:t>
      </w:r>
      <w:r w:rsidR="00CF07B0" w:rsidRPr="00831243">
        <w:rPr>
          <w:rFonts w:ascii="Times New Roman" w:hAnsi="Times New Roman" w:cs="Times New Roman"/>
          <w:b/>
          <w:bCs/>
          <w:i/>
          <w:iCs/>
          <w:color w:val="000000"/>
          <w:lang w:val="en-GB"/>
        </w:rPr>
        <w:t>Email</w:t>
      </w:r>
      <w:r w:rsidR="00CF07B0" w:rsidRPr="00831243">
        <w:rPr>
          <w:rFonts w:ascii="Times New Roman" w:hAnsi="Times New Roman" w:cs="Times New Roman"/>
          <w:color w:val="000000"/>
          <w:lang w:val="en-GB"/>
        </w:rPr>
        <w:t xml:space="preserve">: </w:t>
      </w:r>
      <w:hyperlink r:id="rId51">
        <w:r w:rsidR="00CF07B0" w:rsidRPr="00831243">
          <w:rPr>
            <w:rFonts w:ascii="Times New Roman" w:hAnsi="Times New Roman" w:cs="Times New Roman"/>
            <w:color w:val="0000FF"/>
            <w:lang w:val="en-GB"/>
          </w:rPr>
          <w:t>nadia.boutaleb@fstm.ac.ma</w:t>
        </w:r>
      </w:hyperlink>
    </w:p>
    <w:p w14:paraId="72FB4970" w14:textId="77777777" w:rsidR="007C27F7" w:rsidRPr="00831243" w:rsidRDefault="007C27F7">
      <w:pPr>
        <w:spacing w:after="120" w:line="360" w:lineRule="auto"/>
        <w:jc w:val="both"/>
        <w:rPr>
          <w:rFonts w:ascii="Times New Roman" w:hAnsi="Times New Roman" w:cs="Times New Roman"/>
          <w:sz w:val="24"/>
          <w:szCs w:val="24"/>
          <w:lang w:val="en-GB"/>
        </w:rPr>
      </w:pPr>
    </w:p>
    <w:p w14:paraId="2D3D3132" w14:textId="77777777" w:rsidR="007C27F7" w:rsidRPr="00831243" w:rsidRDefault="00CF07B0">
      <w:pPr>
        <w:rPr>
          <w:rFonts w:ascii="Times New Roman" w:hAnsi="Times New Roman" w:cs="Times New Roman"/>
          <w:b/>
          <w:bCs/>
          <w:sz w:val="24"/>
          <w:szCs w:val="24"/>
          <w:lang w:val="en-GB"/>
        </w:rPr>
      </w:pPr>
      <w:r w:rsidRPr="00831243">
        <w:rPr>
          <w:rFonts w:ascii="Times New Roman" w:hAnsi="Times New Roman" w:cs="Times New Roman"/>
          <w:lang w:val="en-GB"/>
        </w:rPr>
        <w:br w:type="page"/>
      </w:r>
    </w:p>
    <w:p w14:paraId="20B91B0D" w14:textId="77777777" w:rsidR="00277C1A" w:rsidRPr="00D054C1" w:rsidRDefault="00277C1A" w:rsidP="00277C1A">
      <w:pPr>
        <w:pStyle w:val="Normal1"/>
        <w:spacing w:after="0" w:line="240" w:lineRule="auto"/>
        <w:jc w:val="both"/>
        <w:rPr>
          <w:rFonts w:ascii="Times New Roman" w:eastAsia="Garamond" w:hAnsi="Times New Roman" w:cs="Times New Roman"/>
          <w:b/>
          <w:bCs/>
          <w:sz w:val="24"/>
          <w:szCs w:val="24"/>
          <w:lang w:val="en-US"/>
        </w:rPr>
      </w:pPr>
      <w:r>
        <w:rPr>
          <w:rFonts w:ascii="Times New Roman" w:eastAsia="Garamond" w:hAnsi="Times New Roman" w:cs="Times New Roman"/>
          <w:b/>
          <w:bCs/>
          <w:sz w:val="24"/>
          <w:szCs w:val="24"/>
          <w:lang w:val="en-US"/>
        </w:rPr>
        <w:lastRenderedPageBreak/>
        <w:t>Graphical Abstract</w:t>
      </w:r>
    </w:p>
    <w:p w14:paraId="1EFA4234" w14:textId="77777777" w:rsidR="00277C1A" w:rsidRPr="00CB6756" w:rsidRDefault="00277C1A">
      <w:pPr>
        <w:spacing w:line="360" w:lineRule="auto"/>
        <w:jc w:val="both"/>
        <w:rPr>
          <w:rFonts w:ascii="Times New Roman" w:hAnsi="Times New Roman" w:cs="Times New Roman"/>
          <w:sz w:val="12"/>
          <w:szCs w:val="12"/>
          <w:lang w:val="en-GB"/>
        </w:rPr>
      </w:pPr>
    </w:p>
    <w:p w14:paraId="1F950709" w14:textId="3CFE0C03" w:rsidR="007C27F7" w:rsidRPr="00E439FA" w:rsidRDefault="00CF07B0" w:rsidP="00CB6756">
      <w:pPr>
        <w:spacing w:line="360" w:lineRule="auto"/>
        <w:jc w:val="both"/>
        <w:rPr>
          <w:rFonts w:ascii="Times New Roman" w:hAnsi="Times New Roman" w:cs="Times New Roman"/>
          <w:lang w:val="en-GB"/>
        </w:rPr>
      </w:pPr>
      <w:r w:rsidRPr="00E439FA">
        <w:rPr>
          <w:rFonts w:ascii="Times New Roman" w:hAnsi="Times New Roman" w:cs="Times New Roman"/>
          <w:sz w:val="24"/>
          <w:szCs w:val="24"/>
          <w:lang w:val="en-GB"/>
        </w:rPr>
        <w:t>Agricultural mulching films in Morocco raise yields, reduce pesticide use, and improve water efficiency. Yet poor recyclability causes soil and water pollution and microplastic spread. A survey of ten companies shows high reliance on virgin polymers, short lifespan, and recycling rates below</w:t>
      </w:r>
      <w:r w:rsidR="00CB6756">
        <w:rPr>
          <w:rFonts w:ascii="Times New Roman" w:hAnsi="Times New Roman" w:cs="Times New Roman"/>
          <w:sz w:val="24"/>
          <w:szCs w:val="24"/>
          <w:lang w:val="en-GB"/>
        </w:rPr>
        <w:t xml:space="preserve"> </w:t>
      </w:r>
      <w:r w:rsidRPr="00E439FA">
        <w:rPr>
          <w:rFonts w:ascii="Times New Roman" w:hAnsi="Times New Roman" w:cs="Times New Roman"/>
          <w:sz w:val="24"/>
          <w:szCs w:val="24"/>
          <w:lang w:val="en-GB"/>
        </w:rPr>
        <w:t>30%. Strategic pathways include a plastic tax, subsidies, robust monitoring, and integration with green transition policies to build a circular economy</w:t>
      </w:r>
      <w:r w:rsidRPr="00E439FA">
        <w:rPr>
          <w:rFonts w:ascii="Times New Roman" w:hAnsi="Times New Roman" w:cs="Times New Roman"/>
          <w:lang w:val="en-GB"/>
        </w:rPr>
        <w:t>.</w:t>
      </w:r>
    </w:p>
    <w:p w14:paraId="2223B35E" w14:textId="6B9EE5E7" w:rsidR="005C6258" w:rsidRPr="00E439FA" w:rsidRDefault="00CB6756">
      <w:pPr>
        <w:spacing w:line="360" w:lineRule="auto"/>
        <w:jc w:val="both"/>
        <w:rPr>
          <w:rFonts w:ascii="Times New Roman" w:hAnsi="Times New Roman" w:cs="Times New Roman"/>
          <w:b/>
          <w:bCs/>
          <w:sz w:val="24"/>
          <w:szCs w:val="24"/>
          <w:lang w:val="en-GB"/>
        </w:rPr>
      </w:pPr>
      <w:r w:rsidRPr="003B18E7">
        <w:rPr>
          <w:rFonts w:ascii="Times New Roman" w:hAnsi="Times New Roman" w:cs="Times New Roman"/>
          <w:noProof/>
          <w:sz w:val="24"/>
          <w:szCs w:val="24"/>
        </w:rPr>
        <w:drawing>
          <wp:inline distT="0" distB="0" distL="0" distR="0" wp14:anchorId="0421815A" wp14:editId="146C12B8">
            <wp:extent cx="5471160" cy="1916430"/>
            <wp:effectExtent l="0" t="0" r="0" b="7620"/>
            <wp:docPr id="3" name="image4.jpg" descr="C:\Users\Dell\Downloads\graphical_page-0001 (2).jpg"/>
            <wp:cNvGraphicFramePr/>
            <a:graphic xmlns:a="http://schemas.openxmlformats.org/drawingml/2006/main">
              <a:graphicData uri="http://schemas.openxmlformats.org/drawingml/2006/picture">
                <pic:pic xmlns:pic="http://schemas.openxmlformats.org/drawingml/2006/picture">
                  <pic:nvPicPr>
                    <pic:cNvPr id="0" name="image4.jpg" descr="C:\Users\Dell\Downloads\graphical_page-0001 (2).jpg"/>
                    <pic:cNvPicPr preferRelativeResize="0"/>
                  </pic:nvPicPr>
                  <pic:blipFill>
                    <a:blip r:embed="rId52">
                      <a:extLst>
                        <a:ext uri="{28A0092B-C50C-407E-A947-70E740481C1C}">
                          <a14:useLocalDpi xmlns:a14="http://schemas.microsoft.com/office/drawing/2010/main" val="0"/>
                        </a:ext>
                      </a:extLst>
                    </a:blip>
                    <a:srcRect/>
                    <a:stretch>
                      <a:fillRect/>
                    </a:stretch>
                  </pic:blipFill>
                  <pic:spPr>
                    <a:xfrm>
                      <a:off x="0" y="0"/>
                      <a:ext cx="5471160" cy="1916430"/>
                    </a:xfrm>
                    <a:prstGeom prst="rect">
                      <a:avLst/>
                    </a:prstGeom>
                    <a:ln/>
                  </pic:spPr>
                </pic:pic>
              </a:graphicData>
            </a:graphic>
          </wp:inline>
        </w:drawing>
      </w:r>
    </w:p>
    <w:tbl>
      <w:tblPr>
        <w:tblStyle w:val="a0"/>
        <w:tblW w:w="15259" w:type="dxa"/>
        <w:tblInd w:w="0" w:type="dxa"/>
        <w:tblLayout w:type="fixed"/>
        <w:tblLook w:val="0400" w:firstRow="0" w:lastRow="0" w:firstColumn="0" w:lastColumn="0" w:noHBand="0" w:noVBand="1"/>
      </w:tblPr>
      <w:tblGrid>
        <w:gridCol w:w="3119"/>
        <w:gridCol w:w="6070"/>
        <w:gridCol w:w="6070"/>
      </w:tblGrid>
      <w:tr w:rsidR="005C6258" w:rsidRPr="00C93BBB" w14:paraId="31458000" w14:textId="48574624" w:rsidTr="005C6258">
        <w:trPr>
          <w:trHeight w:val="6299"/>
        </w:trPr>
        <w:tc>
          <w:tcPr>
            <w:tcW w:w="3119" w:type="dxa"/>
          </w:tcPr>
          <w:p w14:paraId="333B9CC4" w14:textId="77777777" w:rsidR="005C6258" w:rsidRPr="00E439FA" w:rsidRDefault="005C6258">
            <w:pPr>
              <w:spacing w:after="0" w:line="360" w:lineRule="auto"/>
              <w:rPr>
                <w:rFonts w:ascii="Times New Roman" w:hAnsi="Times New Roman" w:cs="Times New Roman"/>
                <w:sz w:val="20"/>
                <w:szCs w:val="20"/>
                <w:u w:val="single"/>
                <w:lang w:val="en-GB"/>
              </w:rPr>
            </w:pPr>
          </w:p>
          <w:p w14:paraId="447EF702" w14:textId="5972124A" w:rsidR="005C6258" w:rsidRPr="0036194E" w:rsidRDefault="005C6258">
            <w:pPr>
              <w:rPr>
                <w:rFonts w:ascii="Times New Roman" w:hAnsi="Times New Roman" w:cs="Times New Roman"/>
                <w:color w:val="0000FF"/>
                <w:sz w:val="20"/>
                <w:szCs w:val="20"/>
                <w:lang w:val="en-GB"/>
              </w:rPr>
            </w:pPr>
            <w:r w:rsidRPr="0036194E">
              <w:rPr>
                <w:rFonts w:ascii="Times New Roman" w:hAnsi="Times New Roman" w:cs="Times New Roman"/>
                <w:color w:val="0000FF"/>
                <w:sz w:val="20"/>
                <w:szCs w:val="20"/>
                <w:lang w:val="en-GB"/>
              </w:rPr>
              <w:t xml:space="preserve">DOI : </w:t>
            </w:r>
            <w:hyperlink r:id="rId53" w:history="1">
              <w:r w:rsidRPr="003E6B4F">
                <w:rPr>
                  <w:rFonts w:ascii="Times New Roman" w:hAnsi="Times New Roman" w:cs="Times New Roman"/>
                  <w:color w:val="0000FF"/>
                  <w:sz w:val="20"/>
                  <w:szCs w:val="20"/>
                  <w:lang w:val="en-GB"/>
                </w:rPr>
                <w:t>10.63095/NBSEH.26.787520</w:t>
              </w:r>
            </w:hyperlink>
          </w:p>
          <w:p w14:paraId="7E1C0D5F" w14:textId="5D078393" w:rsidR="00A9700D" w:rsidRDefault="00A9700D" w:rsidP="009430C4">
            <w:pPr>
              <w:spacing w:after="0" w:line="240" w:lineRule="auto"/>
              <w:rPr>
                <w:rFonts w:asciiTheme="majorBidi" w:hAnsiTheme="majorBidi" w:cstheme="majorBidi"/>
                <w:i/>
                <w:sz w:val="18"/>
                <w:szCs w:val="18"/>
                <w:lang w:val="en-US"/>
              </w:rPr>
            </w:pPr>
            <w:r>
              <w:rPr>
                <w:rFonts w:asciiTheme="majorBidi" w:hAnsiTheme="majorBidi" w:cstheme="majorBidi"/>
                <w:b/>
                <w:bCs/>
                <w:i/>
                <w:sz w:val="18"/>
                <w:szCs w:val="18"/>
                <w:lang w:val="en-US"/>
              </w:rPr>
              <w:t>Received:</w:t>
            </w:r>
            <w:r w:rsidRPr="00FF2DBB">
              <w:rPr>
                <w:rFonts w:asciiTheme="majorBidi" w:hAnsiTheme="majorBidi" w:cstheme="majorBidi"/>
                <w:i/>
                <w:sz w:val="18"/>
                <w:szCs w:val="18"/>
                <w:lang w:val="en-US"/>
              </w:rPr>
              <w:t xml:space="preserve"> </w:t>
            </w:r>
            <w:r w:rsidR="009430C4">
              <w:rPr>
                <w:rFonts w:asciiTheme="majorBidi" w:hAnsiTheme="majorBidi" w:cstheme="majorBidi"/>
                <w:i/>
                <w:sz w:val="18"/>
                <w:szCs w:val="18"/>
                <w:lang w:val="en-US"/>
              </w:rPr>
              <w:t>23</w:t>
            </w:r>
            <w:r w:rsidRPr="00FF2DBB">
              <w:rPr>
                <w:rFonts w:asciiTheme="majorBidi" w:hAnsiTheme="majorBidi" w:cstheme="majorBidi"/>
                <w:i/>
                <w:sz w:val="18"/>
                <w:szCs w:val="18"/>
                <w:lang w:val="en-US"/>
              </w:rPr>
              <w:t xml:space="preserve"> </w:t>
            </w:r>
            <w:r w:rsidR="003C00D0">
              <w:rPr>
                <w:rFonts w:asciiTheme="majorBidi" w:hAnsiTheme="majorBidi" w:cstheme="majorBidi"/>
                <w:i/>
                <w:sz w:val="18"/>
                <w:szCs w:val="18"/>
                <w:lang w:val="en-US"/>
              </w:rPr>
              <w:t>November</w:t>
            </w:r>
            <w:r w:rsidR="009430C4">
              <w:rPr>
                <w:rFonts w:asciiTheme="majorBidi" w:hAnsiTheme="majorBidi" w:cstheme="majorBidi"/>
                <w:i/>
                <w:sz w:val="18"/>
                <w:szCs w:val="18"/>
                <w:lang w:val="en-US"/>
              </w:rPr>
              <w:t xml:space="preserve"> 2025</w:t>
            </w:r>
            <w:r>
              <w:rPr>
                <w:rFonts w:asciiTheme="majorBidi" w:hAnsiTheme="majorBidi" w:cstheme="majorBidi"/>
                <w:i/>
                <w:sz w:val="18"/>
                <w:szCs w:val="18"/>
                <w:lang w:val="en-US"/>
              </w:rPr>
              <w:t xml:space="preserve"> </w:t>
            </w:r>
          </w:p>
          <w:p w14:paraId="1539EFB9" w14:textId="78F35500" w:rsidR="00A9700D" w:rsidRDefault="00A9700D" w:rsidP="004E59CC">
            <w:pPr>
              <w:spacing w:after="0" w:line="240" w:lineRule="auto"/>
              <w:rPr>
                <w:rFonts w:asciiTheme="majorBidi" w:hAnsiTheme="majorBidi" w:cstheme="majorBidi"/>
                <w:i/>
                <w:sz w:val="18"/>
                <w:szCs w:val="18"/>
                <w:lang w:val="en-US"/>
              </w:rPr>
            </w:pPr>
            <w:r w:rsidRPr="00FF2DBB">
              <w:rPr>
                <w:rFonts w:asciiTheme="majorBidi" w:hAnsiTheme="majorBidi" w:cstheme="majorBidi"/>
                <w:b/>
                <w:bCs/>
                <w:i/>
                <w:sz w:val="18"/>
                <w:szCs w:val="18"/>
                <w:lang w:val="en-US"/>
              </w:rPr>
              <w:t>Revised:</w:t>
            </w:r>
            <w:r w:rsidRPr="00FF2DBB">
              <w:rPr>
                <w:rFonts w:asciiTheme="majorBidi" w:hAnsiTheme="majorBidi" w:cstheme="majorBidi"/>
                <w:i/>
                <w:sz w:val="18"/>
                <w:szCs w:val="18"/>
                <w:lang w:val="en-US"/>
              </w:rPr>
              <w:t xml:space="preserve"> </w:t>
            </w:r>
            <w:r w:rsidR="004E59CC">
              <w:rPr>
                <w:rFonts w:asciiTheme="majorBidi" w:hAnsiTheme="majorBidi" w:cstheme="majorBidi"/>
                <w:i/>
                <w:sz w:val="18"/>
                <w:szCs w:val="18"/>
                <w:lang w:val="en-US"/>
              </w:rPr>
              <w:t>21</w:t>
            </w:r>
            <w:r w:rsidRPr="00FF2DBB">
              <w:rPr>
                <w:rFonts w:asciiTheme="majorBidi" w:hAnsiTheme="majorBidi" w:cstheme="majorBidi"/>
                <w:i/>
                <w:sz w:val="18"/>
                <w:szCs w:val="18"/>
                <w:lang w:val="en-US"/>
              </w:rPr>
              <w:t xml:space="preserve"> </w:t>
            </w:r>
            <w:r w:rsidR="004E59CC">
              <w:rPr>
                <w:rFonts w:asciiTheme="majorBidi" w:hAnsiTheme="majorBidi" w:cstheme="majorBidi"/>
                <w:i/>
                <w:sz w:val="18"/>
                <w:szCs w:val="18"/>
                <w:lang w:val="en-US"/>
              </w:rPr>
              <w:t>January</w:t>
            </w:r>
            <w:r>
              <w:rPr>
                <w:rFonts w:asciiTheme="majorBidi" w:hAnsiTheme="majorBidi" w:cstheme="majorBidi"/>
                <w:i/>
                <w:sz w:val="18"/>
                <w:szCs w:val="18"/>
                <w:lang w:val="en-US"/>
              </w:rPr>
              <w:t xml:space="preserve"> </w:t>
            </w:r>
            <w:r w:rsidRPr="00FF2DBB">
              <w:rPr>
                <w:rFonts w:asciiTheme="majorBidi" w:hAnsiTheme="majorBidi" w:cstheme="majorBidi"/>
                <w:i/>
                <w:sz w:val="18"/>
                <w:szCs w:val="18"/>
                <w:lang w:val="en-US"/>
              </w:rPr>
              <w:t>2026</w:t>
            </w:r>
          </w:p>
          <w:p w14:paraId="6AAE4992" w14:textId="4B13210E" w:rsidR="00A9700D" w:rsidRDefault="00A9700D" w:rsidP="006329FA">
            <w:pPr>
              <w:spacing w:after="0" w:line="240" w:lineRule="auto"/>
              <w:rPr>
                <w:rFonts w:asciiTheme="majorBidi" w:hAnsiTheme="majorBidi" w:cstheme="majorBidi"/>
                <w:i/>
                <w:sz w:val="18"/>
                <w:szCs w:val="18"/>
                <w:lang w:val="en-US"/>
              </w:rPr>
            </w:pPr>
            <w:r w:rsidRPr="00FF2DBB">
              <w:rPr>
                <w:rFonts w:asciiTheme="majorBidi" w:hAnsiTheme="majorBidi" w:cstheme="majorBidi"/>
                <w:b/>
                <w:bCs/>
                <w:i/>
                <w:sz w:val="18"/>
                <w:szCs w:val="18"/>
                <w:lang w:val="en-US"/>
              </w:rPr>
              <w:t>Accepted</w:t>
            </w:r>
            <w:r>
              <w:rPr>
                <w:rFonts w:asciiTheme="majorBidi" w:hAnsiTheme="majorBidi" w:cstheme="majorBidi"/>
                <w:b/>
                <w:bCs/>
                <w:i/>
                <w:sz w:val="18"/>
                <w:szCs w:val="18"/>
                <w:lang w:val="en-US"/>
              </w:rPr>
              <w:t>:</w:t>
            </w:r>
            <w:r w:rsidRPr="00FF2DBB">
              <w:rPr>
                <w:rFonts w:asciiTheme="majorBidi" w:hAnsiTheme="majorBidi" w:cstheme="majorBidi"/>
                <w:i/>
                <w:sz w:val="18"/>
                <w:szCs w:val="18"/>
                <w:lang w:val="en-US"/>
              </w:rPr>
              <w:t xml:space="preserve"> </w:t>
            </w:r>
            <w:r w:rsidR="006329FA">
              <w:rPr>
                <w:rFonts w:asciiTheme="majorBidi" w:hAnsiTheme="majorBidi" w:cstheme="majorBidi"/>
                <w:i/>
                <w:sz w:val="18"/>
                <w:szCs w:val="18"/>
                <w:lang w:val="en-US"/>
              </w:rPr>
              <w:t>03</w:t>
            </w:r>
            <w:r w:rsidRPr="00FF2DBB">
              <w:rPr>
                <w:rFonts w:asciiTheme="majorBidi" w:hAnsiTheme="majorBidi" w:cstheme="majorBidi"/>
                <w:i/>
                <w:sz w:val="18"/>
                <w:szCs w:val="18"/>
                <w:lang w:val="en-US"/>
              </w:rPr>
              <w:t xml:space="preserve"> </w:t>
            </w:r>
            <w:r>
              <w:rPr>
                <w:rFonts w:asciiTheme="majorBidi" w:hAnsiTheme="majorBidi" w:cstheme="majorBidi"/>
                <w:i/>
                <w:sz w:val="18"/>
                <w:szCs w:val="18"/>
                <w:lang w:val="en-US"/>
              </w:rPr>
              <w:t xml:space="preserve">February </w:t>
            </w:r>
            <w:r w:rsidRPr="00FF2DBB">
              <w:rPr>
                <w:rFonts w:asciiTheme="majorBidi" w:hAnsiTheme="majorBidi" w:cstheme="majorBidi"/>
                <w:i/>
                <w:sz w:val="18"/>
                <w:szCs w:val="18"/>
                <w:lang w:val="en-US"/>
              </w:rPr>
              <w:t>2026</w:t>
            </w:r>
          </w:p>
          <w:p w14:paraId="3B495D2D" w14:textId="77777777" w:rsidR="00A9700D" w:rsidRPr="00FF2DBB" w:rsidRDefault="00A9700D" w:rsidP="00A9700D">
            <w:pPr>
              <w:spacing w:after="0" w:line="240" w:lineRule="auto"/>
              <w:rPr>
                <w:rFonts w:asciiTheme="majorBidi" w:hAnsiTheme="majorBidi" w:cstheme="majorBidi"/>
                <w:i/>
                <w:sz w:val="18"/>
                <w:szCs w:val="18"/>
                <w:lang w:val="en-US"/>
              </w:rPr>
            </w:pPr>
            <w:r w:rsidRPr="00FF2DBB">
              <w:rPr>
                <w:rFonts w:asciiTheme="majorBidi" w:hAnsiTheme="majorBidi" w:cstheme="majorBidi"/>
                <w:b/>
                <w:bCs/>
                <w:i/>
                <w:sz w:val="18"/>
                <w:szCs w:val="18"/>
                <w:lang w:val="en-US"/>
              </w:rPr>
              <w:t>Published online</w:t>
            </w:r>
            <w:r>
              <w:rPr>
                <w:rFonts w:asciiTheme="majorBidi" w:hAnsiTheme="majorBidi" w:cstheme="majorBidi"/>
                <w:b/>
                <w:bCs/>
                <w:i/>
                <w:sz w:val="18"/>
                <w:szCs w:val="18"/>
                <w:lang w:val="en-US"/>
              </w:rPr>
              <w:t>:</w:t>
            </w:r>
            <w:r w:rsidRPr="00FF2DBB">
              <w:rPr>
                <w:rFonts w:asciiTheme="majorBidi" w:hAnsiTheme="majorBidi" w:cstheme="majorBidi"/>
                <w:i/>
                <w:sz w:val="18"/>
                <w:szCs w:val="18"/>
                <w:lang w:val="en-US"/>
              </w:rPr>
              <w:t xml:space="preserve"> </w:t>
            </w:r>
            <w:r>
              <w:rPr>
                <w:rFonts w:asciiTheme="majorBidi" w:hAnsiTheme="majorBidi" w:cstheme="majorBidi"/>
                <w:i/>
                <w:sz w:val="18"/>
                <w:szCs w:val="18"/>
                <w:lang w:val="en-US"/>
              </w:rPr>
              <w:t>07</w:t>
            </w:r>
            <w:r w:rsidRPr="00FF2DBB">
              <w:rPr>
                <w:rFonts w:asciiTheme="majorBidi" w:hAnsiTheme="majorBidi" w:cstheme="majorBidi"/>
                <w:i/>
                <w:sz w:val="18"/>
                <w:szCs w:val="18"/>
                <w:lang w:val="en-US"/>
              </w:rPr>
              <w:t xml:space="preserve"> </w:t>
            </w:r>
            <w:r>
              <w:rPr>
                <w:rFonts w:asciiTheme="majorBidi" w:hAnsiTheme="majorBidi" w:cstheme="majorBidi"/>
                <w:i/>
                <w:sz w:val="18"/>
                <w:szCs w:val="18"/>
                <w:lang w:val="en-US"/>
              </w:rPr>
              <w:t>April</w:t>
            </w:r>
            <w:r w:rsidRPr="00FF2DBB">
              <w:rPr>
                <w:rFonts w:asciiTheme="majorBidi" w:hAnsiTheme="majorBidi" w:cstheme="majorBidi"/>
                <w:i/>
                <w:sz w:val="18"/>
                <w:szCs w:val="18"/>
                <w:lang w:val="en-US"/>
              </w:rPr>
              <w:t xml:space="preserve"> </w:t>
            </w:r>
            <w:r>
              <w:rPr>
                <w:rFonts w:asciiTheme="majorBidi" w:hAnsiTheme="majorBidi" w:cstheme="majorBidi"/>
                <w:i/>
                <w:sz w:val="18"/>
                <w:szCs w:val="18"/>
                <w:lang w:val="en-US"/>
              </w:rPr>
              <w:t>2026</w:t>
            </w:r>
          </w:p>
          <w:p w14:paraId="6A86B782" w14:textId="77777777" w:rsidR="000728A5" w:rsidRPr="000728A5" w:rsidRDefault="000728A5">
            <w:pPr>
              <w:rPr>
                <w:rFonts w:ascii="Times New Roman" w:hAnsi="Times New Roman" w:cs="Times New Roman"/>
                <w:i/>
                <w:iCs/>
                <w:sz w:val="20"/>
                <w:szCs w:val="20"/>
                <w:lang w:val="en-US"/>
              </w:rPr>
            </w:pPr>
          </w:p>
          <w:p w14:paraId="5D956B83" w14:textId="3219D785" w:rsidR="005C6258" w:rsidRPr="003F2CFA" w:rsidRDefault="005C6258">
            <w:pPr>
              <w:jc w:val="both"/>
              <w:rPr>
                <w:rFonts w:ascii="Times New Roman" w:hAnsi="Times New Roman" w:cs="Times New Roman"/>
                <w:color w:val="0000FF"/>
                <w:sz w:val="16"/>
                <w:szCs w:val="16"/>
                <w:lang w:val="en-GB"/>
              </w:rPr>
            </w:pPr>
            <w:bookmarkStart w:id="1" w:name="_6g0m7ahzsfbq" w:colFirst="0" w:colLast="0"/>
            <w:bookmarkEnd w:id="1"/>
            <w:r w:rsidRPr="00831243">
              <w:rPr>
                <w:rFonts w:ascii="Times New Roman" w:hAnsi="Times New Roman" w:cs="Times New Roman"/>
                <w:b/>
                <w:bCs/>
                <w:i/>
                <w:iCs/>
                <w:sz w:val="18"/>
                <w:szCs w:val="18"/>
                <w:lang w:val="en-GB"/>
              </w:rPr>
              <w:t>Citation</w:t>
            </w:r>
            <w:r w:rsidRPr="00831243">
              <w:rPr>
                <w:rFonts w:ascii="Times New Roman" w:hAnsi="Times New Roman" w:cs="Times New Roman"/>
                <w:i/>
                <w:iCs/>
                <w:sz w:val="16"/>
                <w:szCs w:val="16"/>
                <w:lang w:val="en-GB"/>
              </w:rPr>
              <w:t xml:space="preserve">: </w:t>
            </w:r>
            <w:r w:rsidRPr="00831243">
              <w:rPr>
                <w:rFonts w:ascii="Times New Roman" w:hAnsi="Times New Roman" w:cs="Times New Roman"/>
                <w:sz w:val="16"/>
                <w:szCs w:val="16"/>
                <w:lang w:val="en-GB"/>
              </w:rPr>
              <w:t xml:space="preserve">Louanjli, F. A., Radi Benjelloun, G., Waddi, K., Boutaleb, F. Z., Tesse, R., Charef, I., </w:t>
            </w:r>
            <w:r w:rsidR="003F2CFA">
              <w:rPr>
                <w:rFonts w:ascii="Times New Roman" w:hAnsi="Times New Roman" w:cs="Times New Roman"/>
                <w:sz w:val="16"/>
                <w:szCs w:val="16"/>
                <w:lang w:val="en-GB"/>
              </w:rPr>
              <w:t xml:space="preserve">Mahmoudi, M., </w:t>
            </w:r>
            <w:r w:rsidRPr="00831243">
              <w:rPr>
                <w:rFonts w:ascii="Times New Roman" w:hAnsi="Times New Roman" w:cs="Times New Roman"/>
                <w:sz w:val="16"/>
                <w:szCs w:val="16"/>
                <w:lang w:val="en-GB"/>
              </w:rPr>
              <w:t xml:space="preserve">Bahlaouan, B., &amp; Boutaleb, N., 2026, Production and Recycling of Agricultural Mulching Films in Morocco: Challenges, Barriers, and Strategic Pathways. </w:t>
            </w:r>
            <w:r w:rsidRPr="003F2CFA">
              <w:rPr>
                <w:rFonts w:ascii="Times New Roman" w:hAnsi="Times New Roman" w:cs="Times New Roman"/>
                <w:i/>
                <w:iCs/>
                <w:sz w:val="16"/>
                <w:szCs w:val="16"/>
                <w:lang w:val="en-GB"/>
              </w:rPr>
              <w:t>Natural Built Social Environment Health</w:t>
            </w:r>
            <w:r w:rsidRPr="003F2CFA">
              <w:rPr>
                <w:rFonts w:ascii="Times New Roman" w:hAnsi="Times New Roman" w:cs="Times New Roman"/>
                <w:sz w:val="16"/>
                <w:szCs w:val="16"/>
                <w:lang w:val="en-GB"/>
              </w:rPr>
              <w:t xml:space="preserve"> </w:t>
            </w:r>
            <w:r w:rsidRPr="003F2CFA">
              <w:rPr>
                <w:rFonts w:ascii="Times New Roman" w:hAnsi="Times New Roman" w:cs="Times New Roman"/>
                <w:b/>
                <w:bCs/>
                <w:sz w:val="16"/>
                <w:szCs w:val="16"/>
                <w:lang w:val="en-GB"/>
              </w:rPr>
              <w:t>2</w:t>
            </w:r>
            <w:r w:rsidRPr="003F2CFA">
              <w:rPr>
                <w:rFonts w:ascii="Times New Roman" w:hAnsi="Times New Roman" w:cs="Times New Roman"/>
                <w:sz w:val="16"/>
                <w:szCs w:val="16"/>
                <w:lang w:val="en-GB"/>
              </w:rPr>
              <w:t>(</w:t>
            </w:r>
            <w:r w:rsidRPr="001F5CBD">
              <w:rPr>
                <w:rFonts w:ascii="Times New Roman" w:hAnsi="Times New Roman" w:cs="Times New Roman"/>
                <w:sz w:val="16"/>
                <w:szCs w:val="16"/>
                <w:lang w:val="en-GB"/>
              </w:rPr>
              <w:t>2)</w:t>
            </w:r>
            <w:r w:rsidR="003E0761">
              <w:rPr>
                <w:rFonts w:ascii="Times New Roman" w:hAnsi="Times New Roman" w:cs="Times New Roman"/>
                <w:sz w:val="16"/>
                <w:szCs w:val="16"/>
                <w:lang w:val="en-GB"/>
              </w:rPr>
              <w:t>, 78-103</w:t>
            </w:r>
            <w:r w:rsidRPr="001F5CBD">
              <w:rPr>
                <w:rFonts w:ascii="Times New Roman" w:hAnsi="Times New Roman" w:cs="Times New Roman"/>
                <w:sz w:val="16"/>
                <w:szCs w:val="16"/>
                <w:lang w:val="en-GB"/>
              </w:rPr>
              <w:t>.</w:t>
            </w:r>
            <w:r w:rsidRPr="003F2CFA">
              <w:rPr>
                <w:rFonts w:ascii="Times New Roman" w:hAnsi="Times New Roman" w:cs="Times New Roman"/>
                <w:color w:val="0000FF"/>
                <w:sz w:val="16"/>
                <w:szCs w:val="16"/>
                <w:lang w:val="en-GB"/>
              </w:rPr>
              <w:t xml:space="preserve"> </w:t>
            </w:r>
            <w:r w:rsidR="003C27C0" w:rsidRPr="003C27C0">
              <w:rPr>
                <w:rFonts w:ascii="Times New Roman" w:hAnsi="Times New Roman" w:cs="Times New Roman"/>
                <w:color w:val="0000FF"/>
                <w:sz w:val="16"/>
                <w:szCs w:val="16"/>
                <w:lang w:val="en-GB"/>
              </w:rPr>
              <w:t>http://www.doi.org/10.63095/NBSEH.26.787520</w:t>
            </w:r>
          </w:p>
          <w:p w14:paraId="484A67EA" w14:textId="77777777" w:rsidR="005C6258" w:rsidRPr="003F2CFA" w:rsidRDefault="005C6258">
            <w:pPr>
              <w:jc w:val="both"/>
              <w:rPr>
                <w:rFonts w:ascii="Times New Roman" w:hAnsi="Times New Roman" w:cs="Times New Roman"/>
                <w:color w:val="0563C1"/>
                <w:sz w:val="16"/>
                <w:szCs w:val="16"/>
                <w:lang w:val="en-GB"/>
              </w:rPr>
            </w:pPr>
          </w:p>
          <w:p w14:paraId="6981685A" w14:textId="67B22779" w:rsidR="005C6258" w:rsidRPr="003F2CFA" w:rsidRDefault="005C6258">
            <w:pPr>
              <w:jc w:val="both"/>
              <w:rPr>
                <w:rFonts w:ascii="Times New Roman" w:hAnsi="Times New Roman" w:cs="Times New Roman"/>
                <w:b/>
                <w:bCs/>
                <w:i/>
                <w:iCs/>
                <w:color w:val="FF0000"/>
                <w:sz w:val="20"/>
                <w:szCs w:val="20"/>
                <w:lang w:val="en-GB"/>
              </w:rPr>
            </w:pPr>
          </w:p>
        </w:tc>
        <w:tc>
          <w:tcPr>
            <w:tcW w:w="6070" w:type="dxa"/>
          </w:tcPr>
          <w:p w14:paraId="248D3790" w14:textId="77777777" w:rsidR="005C6258" w:rsidRPr="00E439FA" w:rsidRDefault="005C6258" w:rsidP="005C6258">
            <w:pPr>
              <w:spacing w:line="360" w:lineRule="auto"/>
              <w:jc w:val="both"/>
              <w:rPr>
                <w:rFonts w:ascii="Times New Roman" w:hAnsi="Times New Roman" w:cs="Times New Roman"/>
                <w:lang w:val="en-GB"/>
              </w:rPr>
            </w:pPr>
            <w:r w:rsidRPr="00831243">
              <w:rPr>
                <w:rFonts w:ascii="Times New Roman" w:hAnsi="Times New Roman" w:cs="Times New Roman"/>
                <w:b/>
                <w:bCs/>
                <w:lang w:val="en-GB"/>
              </w:rPr>
              <w:t>Abstract:</w:t>
            </w:r>
            <w:r w:rsidRPr="00831243">
              <w:rPr>
                <w:rFonts w:ascii="Times New Roman" w:hAnsi="Times New Roman" w:cs="Times New Roman"/>
                <w:lang w:val="en-GB"/>
              </w:rPr>
              <w:t xml:space="preserve"> Agricultural mulching films, mainly made from low-density polyethylene (LDPE), play a central role in Morocco's agricultural development, particularly in high value-added regions such as Souss-Massa and Gharb. </w:t>
            </w:r>
            <w:r w:rsidRPr="00E439FA">
              <w:rPr>
                <w:rFonts w:ascii="Times New Roman" w:hAnsi="Times New Roman" w:cs="Times New Roman"/>
                <w:lang w:val="en-GB"/>
              </w:rPr>
              <w:t xml:space="preserve">They reduce the use of plant protection products, while increasing yields and saving water resources. The lack of recovery and recycling of these films has a major polluting effect on the environment. This study analyses the Moroccan mulch film sector, based on a survey of ten leading companies in the plasticulture sector, using tools such as the Ishikawa diagram, SWOT analysis, and risk analysis. The results show a high dependence on virgin polymers, with a recycling rate rarely exceeding 30%. The World Bank has set out a roadmap for 2028. Such measures could transform Moroccan plasticulture from an ecological burden to a real benefit. </w:t>
            </w:r>
          </w:p>
          <w:p w14:paraId="5899543F" w14:textId="77777777" w:rsidR="005C6258" w:rsidRPr="00831243" w:rsidRDefault="005C6258">
            <w:pPr>
              <w:spacing w:line="276" w:lineRule="auto"/>
              <w:jc w:val="both"/>
              <w:rPr>
                <w:rFonts w:ascii="Times New Roman" w:hAnsi="Times New Roman" w:cs="Times New Roman"/>
                <w:i/>
                <w:iCs/>
                <w:lang w:val="en-GB"/>
              </w:rPr>
            </w:pPr>
            <w:r w:rsidRPr="00E439FA">
              <w:rPr>
                <w:rFonts w:ascii="Times New Roman" w:hAnsi="Times New Roman" w:cs="Times New Roman"/>
                <w:lang w:val="en-GB"/>
              </w:rPr>
              <w:t xml:space="preserve"> </w:t>
            </w:r>
            <w:r w:rsidRPr="00831243">
              <w:rPr>
                <w:rFonts w:ascii="Times New Roman" w:hAnsi="Times New Roman" w:cs="Times New Roman"/>
                <w:b/>
                <w:bCs/>
                <w:i/>
                <w:iCs/>
                <w:lang w:val="en-GB"/>
              </w:rPr>
              <w:t>Keywords:</w:t>
            </w:r>
            <w:r w:rsidRPr="00831243">
              <w:rPr>
                <w:rFonts w:ascii="Times New Roman" w:hAnsi="Times New Roman" w:cs="Times New Roman"/>
                <w:i/>
                <w:iCs/>
                <w:lang w:val="en-GB"/>
              </w:rPr>
              <w:t xml:space="preserve"> Agricultural mulching films, Recycling barriers, Circular economy.</w:t>
            </w:r>
          </w:p>
          <w:p w14:paraId="0D41D2ED" w14:textId="77777777" w:rsidR="005C6258" w:rsidRPr="00831243" w:rsidRDefault="005C6258">
            <w:pPr>
              <w:pBdr>
                <w:top w:val="nil"/>
                <w:left w:val="nil"/>
                <w:bottom w:val="nil"/>
                <w:right w:val="nil"/>
                <w:between w:val="nil"/>
              </w:pBdr>
              <w:spacing w:before="240" w:after="0" w:line="276" w:lineRule="auto"/>
              <w:jc w:val="both"/>
              <w:rPr>
                <w:rFonts w:ascii="Times New Roman" w:hAnsi="Times New Roman" w:cs="Times New Roman"/>
                <w:b/>
                <w:bCs/>
                <w:i/>
                <w:iCs/>
                <w:color w:val="FF0000"/>
                <w:highlight w:val="yellow"/>
                <w:lang w:val="en-GB"/>
              </w:rPr>
            </w:pPr>
          </w:p>
        </w:tc>
        <w:tc>
          <w:tcPr>
            <w:tcW w:w="6070" w:type="dxa"/>
          </w:tcPr>
          <w:p w14:paraId="572AC15F" w14:textId="77777777" w:rsidR="005C6258" w:rsidRPr="00831243" w:rsidRDefault="005C6258">
            <w:pPr>
              <w:spacing w:line="276" w:lineRule="auto"/>
              <w:jc w:val="both"/>
              <w:rPr>
                <w:rFonts w:ascii="Times New Roman" w:hAnsi="Times New Roman" w:cs="Times New Roman"/>
                <w:b/>
                <w:bCs/>
                <w:lang w:val="en-GB"/>
              </w:rPr>
            </w:pPr>
          </w:p>
        </w:tc>
      </w:tr>
    </w:tbl>
    <w:p w14:paraId="524C58CA" w14:textId="77777777" w:rsidR="007C27F7" w:rsidRPr="00831243" w:rsidRDefault="007C27F7">
      <w:pPr>
        <w:rPr>
          <w:rFonts w:ascii="Times New Roman" w:hAnsi="Times New Roman" w:cs="Times New Roman"/>
          <w:b/>
          <w:bCs/>
          <w:sz w:val="24"/>
          <w:szCs w:val="24"/>
          <w:lang w:val="en-GB"/>
        </w:rPr>
      </w:pPr>
    </w:p>
    <w:p w14:paraId="04AA0738" w14:textId="4E7D5F95" w:rsidR="007C27F7" w:rsidRPr="00831243" w:rsidRDefault="007C27F7">
      <w:pPr>
        <w:rPr>
          <w:rFonts w:ascii="Times New Roman" w:hAnsi="Times New Roman" w:cs="Times New Roman"/>
          <w:b/>
          <w:bCs/>
          <w:sz w:val="24"/>
          <w:szCs w:val="24"/>
          <w:lang w:val="en-GB"/>
        </w:rPr>
      </w:pPr>
    </w:p>
    <w:p w14:paraId="52C18DDC" w14:textId="77777777" w:rsidR="006E6C8A" w:rsidRDefault="006E6C8A">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14:paraId="09E391F7" w14:textId="617EA660" w:rsidR="007C27F7" w:rsidRPr="00E439FA" w:rsidRDefault="00CF07B0">
      <w:pPr>
        <w:rPr>
          <w:rFonts w:ascii="Times New Roman" w:hAnsi="Times New Roman" w:cs="Times New Roman"/>
          <w:b/>
          <w:bCs/>
          <w:sz w:val="24"/>
          <w:szCs w:val="24"/>
          <w:lang w:val="en-GB"/>
        </w:rPr>
      </w:pPr>
      <w:r w:rsidRPr="00E439FA">
        <w:rPr>
          <w:rFonts w:ascii="Times New Roman" w:hAnsi="Times New Roman" w:cs="Times New Roman"/>
          <w:b/>
          <w:bCs/>
          <w:sz w:val="24"/>
          <w:szCs w:val="24"/>
          <w:lang w:val="en-GB"/>
        </w:rPr>
        <w:t xml:space="preserve">Introduction </w:t>
      </w:r>
    </w:p>
    <w:p w14:paraId="7A63610E"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For centuries, market gardening has provided food and improved living conditions for populations. For example, the Pharaohs grew a variety of vegetables, including onions, beans, cucumbers, lettuce, and radishes. [1]. The Romans also practised market gardening based on both self-sufficiency and local market sales. They cultivated vegetables such as celery, fennel, and coriander, as well as fruits such as cherries and peaches [2]. During the Middle Ages, monastery gardens contained a variety of vegetables [3]. According to the Bibliothèque nationale de France (2023), the term “maraîchage” (market gardening) appeared in the 18th century in connection with the vegetable gardens developed in the Parisian marshes, which covered the needs for vegetables and fruit [4].</w:t>
      </w:r>
    </w:p>
    <w:p w14:paraId="518F5C5B"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Industrial Revolution’s use of the steam engine, specifically in England between the 18th and 19th centuries, transformed the agricultural sector because the steam engine and railway transport allowed movement of produce to market more rapidly and at long distance [5,6]. Subsequently, the exploitation of resources such as natural gas, oil, and coal became established as non-renewable energy sources, leading to the appearance of the first agricultural tractor with an internal combustion engine. This expansion marked the modernization of agriculture, particularly in 1908, with the advent of nitrogen fertilizers thanks to the Haber-Bosch process. This progress improved soil fertility and significantly increased agricultural yields [7]. After World War I, in order to meet growing global demand and protect crops, the development of synthetic insecticides became essential [8].</w:t>
      </w:r>
    </w:p>
    <w:p w14:paraId="03D6FC15"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In Morocco, agriculture is a pillar of the national economy. It has a major impact on employment, particularly in rural areas, ensuring food security and contributing to export development. This sector accounts for about 15% of the country’s Gross Domestic Product (GDP) (Ministry of Agriculture, Rural Development, and Water and Forests) [9], making it a strategic priority for Morocco.</w:t>
      </w:r>
    </w:p>
    <w:p w14:paraId="6991701E"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Souss-Massa and Gharb plains are pioneers of market gardening in Morocco, serving as key production and export hubs for vegetables, and ranking as the third largest tomato exporter. Together, they account for nearly 58% of total fresh vegetable production and exports, with an estimated volume exceeding 560,000 tonnes and a total value of about 7.5 billion dirhams [10].</w:t>
      </w:r>
    </w:p>
    <w:p w14:paraId="0B871B79"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 xml:space="preserve">National strategies maintain the process of agricultural development. The Green Morocco Plan (PMV) [11], implemented from 2008 to 2020, was followed by </w:t>
      </w:r>
      <w:r w:rsidRPr="00E439FA">
        <w:rPr>
          <w:rFonts w:ascii="Times New Roman" w:hAnsi="Times New Roman" w:cs="Times New Roman"/>
          <w:i/>
          <w:iCs/>
          <w:sz w:val="24"/>
          <w:szCs w:val="24"/>
          <w:lang w:val="en-GB"/>
        </w:rPr>
        <w:t>Génération Green 2020–2030</w:t>
      </w:r>
      <w:r w:rsidRPr="00E439FA">
        <w:rPr>
          <w:rFonts w:ascii="Times New Roman" w:hAnsi="Times New Roman" w:cs="Times New Roman"/>
          <w:sz w:val="24"/>
          <w:szCs w:val="24"/>
          <w:lang w:val="en-GB"/>
        </w:rPr>
        <w:t xml:space="preserve"> [12], which aims to consolidate agricultural achievements, promote technological modernization, and strengthen farmers’ integration into efficient agricultural organizations [10,13]. Following the positive outcomes of these programmes, a long-term agricultural strategy, </w:t>
      </w:r>
      <w:r w:rsidRPr="00E439FA">
        <w:rPr>
          <w:rFonts w:ascii="Times New Roman" w:hAnsi="Times New Roman" w:cs="Times New Roman"/>
          <w:i/>
          <w:iCs/>
          <w:sz w:val="24"/>
          <w:szCs w:val="24"/>
          <w:lang w:val="en-GB"/>
        </w:rPr>
        <w:t>Vision Agricole 2050</w:t>
      </w:r>
      <w:r w:rsidRPr="00E439FA">
        <w:rPr>
          <w:rFonts w:ascii="Times New Roman" w:hAnsi="Times New Roman" w:cs="Times New Roman"/>
          <w:sz w:val="24"/>
          <w:szCs w:val="24"/>
          <w:lang w:val="en-GB"/>
        </w:rPr>
        <w:t>, was launched to enhance the adaptability of Moroccan food systems to climate change [14,15].</w:t>
      </w:r>
    </w:p>
    <w:p w14:paraId="5935AC00"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In a context marked by climatic and pollution-related challenges, sustainable, efficient production with higher yields has become essential. This all depends on irrigation. National water consumption reaches about 16.28 billion m³, of which 89.26% is used for irrigation and only 10.74% for domestic, industrial, and tourism purposes [16]. Morocco’s water needs are becoming very serious. This persistent drought 2022-2023</w:t>
      </w:r>
      <w:r w:rsidRPr="00831243">
        <w:rPr>
          <w:rFonts w:ascii="Times New Roman" w:hAnsi="Times New Roman" w:cs="Times New Roman"/>
          <w:lang w:val="en-GB"/>
        </w:rPr>
        <w:t xml:space="preserve"> </w:t>
      </w:r>
      <w:r w:rsidRPr="00831243">
        <w:rPr>
          <w:rFonts w:ascii="Times New Roman" w:hAnsi="Times New Roman" w:cs="Times New Roman"/>
          <w:sz w:val="24"/>
          <w:szCs w:val="24"/>
          <w:lang w:val="en-GB"/>
        </w:rPr>
        <w:t xml:space="preserve">has significant impacts on available water levels and, consequently, on agricultural production. </w:t>
      </w:r>
      <w:r w:rsidRPr="00E439FA">
        <w:rPr>
          <w:rFonts w:ascii="Times New Roman" w:hAnsi="Times New Roman" w:cs="Times New Roman"/>
          <w:sz w:val="24"/>
          <w:szCs w:val="24"/>
          <w:lang w:val="en-GB"/>
        </w:rPr>
        <w:t xml:space="preserve">According to the High Commission for Planning (HCP), adverse climatic conditions marked by rainfall deficits and thermal anomalies have reduced yields during the 2022–2023 agricultural season [16]. </w:t>
      </w:r>
    </w:p>
    <w:p w14:paraId="7B145AEE"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Beyond this water stress, pollution of groundwater and surface water has become an alarming environmental concern for Moroccan agriculture. The excessive use of pesticides and fertilizers causes severe consequences by contaminating both water and soil [17,18].</w:t>
      </w:r>
    </w:p>
    <w:p w14:paraId="56F161FB" w14:textId="77777777" w:rsidR="007C27F7" w:rsidRPr="00831243"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It is essential to promote alternative and sustainable solutions. Since the 1970s, plasticulture has been established in Morocco. It encompasses a wide range of agricultural techniques, including mulching and drip irrigation; particularly in the Souss-Massa region [19].</w:t>
      </w:r>
    </w:p>
    <w:p w14:paraId="0548CE40"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This system, laid flat on the soil, brings significant benefits to agriculture. For example, for saffron cultivation (</w:t>
      </w:r>
      <w:r w:rsidRPr="00E439FA">
        <w:rPr>
          <w:rFonts w:ascii="Times New Roman" w:hAnsi="Times New Roman" w:cs="Times New Roman"/>
          <w:i/>
          <w:iCs/>
          <w:sz w:val="24"/>
          <w:szCs w:val="24"/>
          <w:lang w:val="en-GB"/>
        </w:rPr>
        <w:t>Crocus sativus</w:t>
      </w:r>
      <w:r w:rsidRPr="00E439FA">
        <w:rPr>
          <w:rFonts w:ascii="Times New Roman" w:hAnsi="Times New Roman" w:cs="Times New Roman"/>
          <w:sz w:val="24"/>
          <w:szCs w:val="24"/>
          <w:lang w:val="en-GB"/>
        </w:rPr>
        <w:t xml:space="preserve"> L.), a study demonstrated that the use of polyethylene mulch film in the Oriental region effectively reduced weeds such as </w:t>
      </w:r>
      <w:r w:rsidRPr="00E439FA">
        <w:rPr>
          <w:rFonts w:ascii="Times New Roman" w:hAnsi="Times New Roman" w:cs="Times New Roman"/>
          <w:i/>
          <w:iCs/>
          <w:sz w:val="24"/>
          <w:szCs w:val="24"/>
          <w:lang w:val="en-GB"/>
        </w:rPr>
        <w:t>Cynodon dactylon</w:t>
      </w:r>
      <w:r w:rsidRPr="00E439FA">
        <w:rPr>
          <w:rFonts w:ascii="Times New Roman" w:hAnsi="Times New Roman" w:cs="Times New Roman"/>
          <w:sz w:val="24"/>
          <w:szCs w:val="24"/>
          <w:lang w:val="en-GB"/>
        </w:rPr>
        <w:t xml:space="preserve"> and </w:t>
      </w:r>
      <w:r w:rsidRPr="00E439FA">
        <w:rPr>
          <w:rFonts w:ascii="Times New Roman" w:hAnsi="Times New Roman" w:cs="Times New Roman"/>
          <w:i/>
          <w:iCs/>
          <w:sz w:val="24"/>
          <w:szCs w:val="24"/>
          <w:lang w:val="en-GB"/>
        </w:rPr>
        <w:t>Aster squamatus</w:t>
      </w:r>
      <w:r w:rsidRPr="00E439FA">
        <w:rPr>
          <w:rFonts w:ascii="Times New Roman" w:hAnsi="Times New Roman" w:cs="Times New Roman"/>
          <w:sz w:val="24"/>
          <w:szCs w:val="24"/>
          <w:lang w:val="en-GB"/>
        </w:rPr>
        <w:t>, resulting in a 9% yield increase compared to the control. It also improved the vegetative development of the plant [20].</w:t>
      </w:r>
    </w:p>
    <w:p w14:paraId="551D2E96"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Findings from another study conducted in Taounate showed that soil covered with vegetation or mulch retained moisture more effectively and reduced water loss from evaporation compared to bare soil [21]. Likewise, another study confirmed that in production areas such as Loukkos and Souss-Massa, the efficiency of plastic tunnel films resulted in a 35% yield increase compared to uncovered strawberry plants, with a visible improvement in fruit quality. Moreover, this 150-micron film enhanced light diffusion and plant growth [22].</w:t>
      </w:r>
    </w:p>
    <w:p w14:paraId="5B911951"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In the Souss-Massa region, the use of plastic mulch films is often associated with fumigants to ensure optimal use of phytosanitary products such as methyl bromide and metam sodium. These are applied to disinfect and improve soil quality. Farmers generally adopt an integrated pest management approach combining several techniques: rational irrigation and fertilization, the use of greenhouses and insect-proof nets, and the installation of plastic mulch. </w:t>
      </w:r>
      <w:r w:rsidRPr="00E439FA">
        <w:rPr>
          <w:rFonts w:ascii="Times New Roman" w:hAnsi="Times New Roman" w:cs="Times New Roman"/>
          <w:sz w:val="24"/>
          <w:szCs w:val="24"/>
          <w:lang w:val="en-GB"/>
        </w:rPr>
        <w:t>This method ensures efficient and sustainable control of pests and diseases [23,24].</w:t>
      </w:r>
    </w:p>
    <w:p w14:paraId="688516AF"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Mulch films play a crucial role in reducing the use of inputs by limiting chemical pollution of soil and water. They help to maintain soil moisture, in an agricultural approach aimed at protecting terrestrial and aquatic biodiversity.</w:t>
      </w:r>
    </w:p>
    <w:p w14:paraId="54C424BE"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Fertilizer applications are designed to meet the growing food demand and to ensure food security [25,26]. To improve yields, the use of fertilizers has become widespread. Non-compliance with recommended dosages, combined with the effects of rainfall or irrigation, leads to infiltration into groundwater, threatening the quality of water resources [27,28]. Soil pollution has thus become a major problem, with the risk of long-term degradation of agricultural ecosystems.</w:t>
      </w:r>
    </w:p>
    <w:p w14:paraId="03C27FD1"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According to the European Environment Agency (EEA), this pollution largely results from the direct introduction or burial of chemical substances such as phytosanitary products, fertilizers, and agricultural plastics. The intensification of agricultural practices and extensive use of pesticides also contribute to air pollution. During their application or degradation, these compounds can volatilize, disperse into the atmosphere, and alter air quality, with significant repercussions for human health [29].</w:t>
      </w:r>
    </w:p>
    <w:p w14:paraId="57AE32E4"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long-term use of agricultural plastic films leads to major environmental pollution consequences. Their limited recyclability, burial in soil, and dispersal into nature seriously threaten the quality of surface water and groundwater. The problem is intensified by the lack of structured collection and recovery systems, the predominance of informal networks, and the low recycling rate (generally below 30%) [30].</w:t>
      </w:r>
    </w:p>
    <w:p w14:paraId="50E336FC"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Yet, in contrast, there are pioneering regional initiatives, such as that of the AgroTech Souss- Massa Association, which has established recovery units capable of processing up to 55,000 tonnes of agricultural plastic waste per year, representing more than 50% of the national total. There needs to be further effort at the national level, where economic, logistical, and regulatory barriers persist.</w:t>
      </w:r>
    </w:p>
    <w:p w14:paraId="37C13970"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present study aims to provide a systemic approach to the agricultural mulch film sector in Morocco. Its objectives are to assess the evolution of LDPE production and use in agriculture, identify current practices and barriers related to recycling and the management of agricultural plastic waste, examine internal and external strategic factors structuring this sector through an Ishikawa analysis, analyse its internal and external context using a SWOT framework of strengths, weaknesses, opportunities, and threats, and finally, to carry out a risk analysis to propose actions for sustainability, which will improve competitiveness, and support alignment with international standards.</w:t>
      </w:r>
    </w:p>
    <w:p w14:paraId="0AC55A01" w14:textId="77777777" w:rsidR="007C27F7" w:rsidRPr="00E439FA" w:rsidRDefault="007C27F7"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p>
    <w:p w14:paraId="501A8372" w14:textId="77777777" w:rsidR="007C27F7" w:rsidRPr="00E439FA" w:rsidRDefault="00CF07B0" w:rsidP="005C6258">
      <w:pPr>
        <w:spacing w:before="120"/>
        <w:jc w:val="both"/>
        <w:rPr>
          <w:rFonts w:ascii="Times New Roman" w:hAnsi="Times New Roman" w:cs="Times New Roman"/>
          <w:b/>
          <w:bCs/>
          <w:sz w:val="24"/>
          <w:szCs w:val="24"/>
          <w:lang w:val="en-GB"/>
        </w:rPr>
      </w:pPr>
      <w:r w:rsidRPr="00E439FA">
        <w:rPr>
          <w:rFonts w:ascii="Times New Roman" w:hAnsi="Times New Roman" w:cs="Times New Roman"/>
          <w:lang w:val="en-GB"/>
        </w:rPr>
        <w:br w:type="page"/>
      </w:r>
    </w:p>
    <w:p w14:paraId="24319744"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b/>
          <w:bCs/>
          <w:sz w:val="24"/>
          <w:szCs w:val="24"/>
          <w:lang w:val="en-GB"/>
        </w:rPr>
      </w:pPr>
      <w:r w:rsidRPr="00E439FA">
        <w:rPr>
          <w:rFonts w:ascii="Times New Roman" w:hAnsi="Times New Roman" w:cs="Times New Roman"/>
          <w:b/>
          <w:bCs/>
          <w:sz w:val="24"/>
          <w:szCs w:val="24"/>
          <w:lang w:val="en-GB"/>
        </w:rPr>
        <w:t>Materials and Methods</w:t>
      </w:r>
    </w:p>
    <w:p w14:paraId="1D84BFEE" w14:textId="77777777" w:rsidR="007C27F7" w:rsidRPr="00E439FA" w:rsidRDefault="00CF07B0" w:rsidP="005C6258">
      <w:pPr>
        <w:pStyle w:val="Titre2"/>
        <w:spacing w:before="120" w:line="360" w:lineRule="auto"/>
        <w:jc w:val="both"/>
        <w:rPr>
          <w:i/>
          <w:iCs/>
          <w:color w:val="auto"/>
          <w:sz w:val="24"/>
          <w:szCs w:val="24"/>
          <w:lang w:val="en-GB"/>
        </w:rPr>
      </w:pPr>
      <w:r w:rsidRPr="00E439FA">
        <w:rPr>
          <w:i/>
          <w:iCs/>
          <w:color w:val="auto"/>
          <w:sz w:val="24"/>
          <w:szCs w:val="24"/>
          <w:lang w:val="en-GB"/>
        </w:rPr>
        <w:t>Type and study design</w:t>
      </w:r>
    </w:p>
    <w:p w14:paraId="08C3D818"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The main objective of the survey was to collect quantitative and qualitative data on domestic production of low-density polyethylene mulch film; to identify the most commonly used materials, according to their type, origin, and composition; to assess current recycling practices; to identify the constraints encountered; and, finally, to understand the environmental awareness of the manufacturers, particularly through the acquisition of labels or certifications. </w:t>
      </w:r>
      <w:r w:rsidRPr="00E439FA">
        <w:rPr>
          <w:rFonts w:ascii="Times New Roman" w:hAnsi="Times New Roman" w:cs="Times New Roman"/>
          <w:sz w:val="24"/>
          <w:szCs w:val="24"/>
          <w:lang w:val="en-GB"/>
        </w:rPr>
        <w:t>The study integrates technical, economic, and environmental dimensions.</w:t>
      </w:r>
    </w:p>
    <w:p w14:paraId="5C45C0E5" w14:textId="77777777" w:rsidR="007C27F7" w:rsidRPr="00E439FA" w:rsidRDefault="00CF07B0" w:rsidP="005C6258">
      <w:pPr>
        <w:pStyle w:val="Titre2"/>
        <w:spacing w:before="120" w:line="360" w:lineRule="auto"/>
        <w:jc w:val="both"/>
        <w:rPr>
          <w:i/>
          <w:iCs/>
          <w:color w:val="auto"/>
          <w:sz w:val="24"/>
          <w:szCs w:val="24"/>
          <w:lang w:val="en-GB"/>
        </w:rPr>
      </w:pPr>
      <w:r w:rsidRPr="00E439FA">
        <w:rPr>
          <w:i/>
          <w:iCs/>
          <w:color w:val="auto"/>
          <w:sz w:val="24"/>
          <w:szCs w:val="24"/>
          <w:lang w:val="en-GB"/>
        </w:rPr>
        <w:t>Population and sample</w:t>
      </w:r>
    </w:p>
    <w:p w14:paraId="7B060986" w14:textId="77777777" w:rsidR="007C27F7" w:rsidRPr="00831243"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As part of a field assessment, telephone discussions and face-to-face interviews were conducted to identify a well-defined panel of Moroccan companies working in the production, distribution and, where applicable, management of agricultural plastic film recycling. The companies were selected so as to cover the most important agricultural plastics industries at the regional level: Casablanca, Agadir, Fez, and Marrakesh. The selection criteria were as follows:</w:t>
      </w:r>
    </w:p>
    <w:p w14:paraId="31A84EF2" w14:textId="77777777" w:rsidR="007C27F7" w:rsidRPr="00831243"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Major companies in the plastics industry in Morocco;</w:t>
      </w:r>
    </w:p>
    <w:p w14:paraId="20E957BB" w14:textId="77777777" w:rsidR="007C27F7" w:rsidRPr="00831243"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Their production of agricultural LDPE mulch films;</w:t>
      </w:r>
    </w:p>
    <w:p w14:paraId="32D77527"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    Accessibility and openness.</w:t>
      </w:r>
    </w:p>
    <w:p w14:paraId="0EB6394E"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survey targeted Moroccan companies specializing in the manufacture and marketing of agricultural films. Ten companies considered to be major players in the market were selected on the basis of their representativeness in terms of market share and product diversity. Their participation was voluntary after prior information on the objectives of the research</w:t>
      </w:r>
    </w:p>
    <w:p w14:paraId="7FC11A88" w14:textId="77777777" w:rsidR="007C27F7" w:rsidRPr="00E439FA" w:rsidRDefault="007C27F7"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p>
    <w:p w14:paraId="2E23D243" w14:textId="77777777" w:rsidR="007C27F7" w:rsidRPr="00DC5285" w:rsidRDefault="00CF07B0" w:rsidP="005C6258">
      <w:pPr>
        <w:pStyle w:val="Titre2"/>
        <w:spacing w:before="120" w:line="360" w:lineRule="auto"/>
        <w:jc w:val="both"/>
        <w:rPr>
          <w:i/>
          <w:iCs/>
          <w:color w:val="auto"/>
          <w:sz w:val="24"/>
          <w:szCs w:val="24"/>
          <w:lang w:val="en-GB"/>
        </w:rPr>
      </w:pPr>
      <w:r w:rsidRPr="00DC5285">
        <w:rPr>
          <w:i/>
          <w:iCs/>
          <w:color w:val="auto"/>
          <w:sz w:val="24"/>
          <w:szCs w:val="24"/>
          <w:lang w:val="en-GB"/>
        </w:rPr>
        <w:t>Data collection instrument</w:t>
      </w:r>
    </w:p>
    <w:p w14:paraId="2F461BBF" w14:textId="77777777" w:rsidR="007C27F7" w:rsidRPr="00831243" w:rsidRDefault="00CF07B0" w:rsidP="005C625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Data were collected through a structured questionnaire designed using the Google Forms platform. The questionnaire included closed, semi-open, and open questions, divided into six main sections:</w:t>
      </w:r>
    </w:p>
    <w:p w14:paraId="2FA34C33" w14:textId="77777777" w:rsidR="007C27F7" w:rsidRPr="00831243" w:rsidRDefault="00CF07B0" w:rsidP="005C6258">
      <w:pPr>
        <w:numPr>
          <w:ilvl w:val="0"/>
          <w:numId w:val="3"/>
        </w:num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Company profile (size, location, market share); </w:t>
      </w:r>
    </w:p>
    <w:p w14:paraId="26AF03E4" w14:textId="77777777" w:rsidR="007C27F7" w:rsidRPr="00E439FA" w:rsidRDefault="00CF07B0" w:rsidP="005C6258">
      <w:pPr>
        <w:numPr>
          <w:ilvl w:val="0"/>
          <w:numId w:val="3"/>
        </w:num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Types of materials and mulch films produced.</w:t>
      </w:r>
    </w:p>
    <w:p w14:paraId="2335009F" w14:textId="77777777" w:rsidR="007C27F7" w:rsidRPr="00831243" w:rsidRDefault="00CF07B0" w:rsidP="005C6258">
      <w:pPr>
        <w:numPr>
          <w:ilvl w:val="0"/>
          <w:numId w:val="3"/>
        </w:num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Agricultural uses (targeted crops, application regions, film lifespan); </w:t>
      </w:r>
    </w:p>
    <w:p w14:paraId="43658F7B" w14:textId="5245732F" w:rsidR="007C27F7" w:rsidRPr="005C6258" w:rsidRDefault="00CF07B0" w:rsidP="005C6258">
      <w:pPr>
        <w:numPr>
          <w:ilvl w:val="0"/>
          <w:numId w:val="3"/>
        </w:numPr>
        <w:spacing w:before="120" w:after="0" w:line="360" w:lineRule="auto"/>
        <w:jc w:val="both"/>
        <w:rPr>
          <w:rFonts w:ascii="Times New Roman" w:hAnsi="Times New Roman" w:cs="Times New Roman"/>
          <w:sz w:val="24"/>
          <w:szCs w:val="24"/>
        </w:rPr>
      </w:pPr>
      <w:r w:rsidRPr="005C6258">
        <w:rPr>
          <w:rFonts w:ascii="Times New Roman" w:hAnsi="Times New Roman" w:cs="Times New Roman"/>
          <w:sz w:val="24"/>
          <w:szCs w:val="24"/>
        </w:rPr>
        <w:t xml:space="preserve">Production and distribution </w:t>
      </w:r>
      <w:r w:rsidR="00763731" w:rsidRPr="005C6258">
        <w:rPr>
          <w:rFonts w:ascii="Times New Roman" w:hAnsi="Times New Roman" w:cs="Times New Roman"/>
          <w:sz w:val="24"/>
          <w:szCs w:val="24"/>
        </w:rPr>
        <w:t>volumes ;</w:t>
      </w:r>
      <w:r w:rsidRPr="005C6258">
        <w:rPr>
          <w:rFonts w:ascii="Times New Roman" w:hAnsi="Times New Roman" w:cs="Times New Roman"/>
          <w:sz w:val="24"/>
          <w:szCs w:val="24"/>
        </w:rPr>
        <w:t xml:space="preserve"> </w:t>
      </w:r>
    </w:p>
    <w:p w14:paraId="2A3E329C" w14:textId="77777777" w:rsidR="007C27F7" w:rsidRPr="00831243" w:rsidRDefault="00CF07B0" w:rsidP="005C6258">
      <w:pPr>
        <w:numPr>
          <w:ilvl w:val="0"/>
          <w:numId w:val="3"/>
        </w:num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Collection, recycling, and recovery practices; </w:t>
      </w:r>
    </w:p>
    <w:p w14:paraId="003A5E32" w14:textId="4070AB3A" w:rsidR="007C27F7" w:rsidRPr="00E439FA" w:rsidRDefault="00CF07B0" w:rsidP="005C6258">
      <w:pPr>
        <w:numPr>
          <w:ilvl w:val="0"/>
          <w:numId w:val="3"/>
        </w:num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Perceptions of barriers, constraints, and opportunities within the sector.</w:t>
      </w:r>
    </w:p>
    <w:p w14:paraId="5A3C65F3"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b/>
          <w:bCs/>
          <w:i/>
          <w:iCs/>
          <w:sz w:val="24"/>
          <w:szCs w:val="24"/>
          <w:lang w:val="en-GB"/>
        </w:rPr>
      </w:pPr>
      <w:r w:rsidRPr="00E439FA">
        <w:rPr>
          <w:rFonts w:ascii="Times New Roman" w:hAnsi="Times New Roman" w:cs="Times New Roman"/>
          <w:b/>
          <w:bCs/>
          <w:i/>
          <w:iCs/>
          <w:sz w:val="24"/>
          <w:szCs w:val="24"/>
          <w:lang w:val="en-GB"/>
        </w:rPr>
        <w:t xml:space="preserve">Data collection and analysis </w:t>
      </w:r>
    </w:p>
    <w:p w14:paraId="5A20078D"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questionnaire was distributed electronically between January and March 2025. Companies were given four weeks to respond. A reminder was sent midway through the period to improve the response rate. Data were automatically collected in digital format.</w:t>
      </w:r>
    </w:p>
    <w:p w14:paraId="19CE8025"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Responses were processed and coded in Microsoft Excel for both quantitative and qualitative variables. Descriptive statistics (frequencies, percentages, and means) were used to summarize the results. Data were then presented as pie charts, histograms, and maps to illustrate the main trends.</w:t>
      </w:r>
    </w:p>
    <w:p w14:paraId="0261C83B" w14:textId="77777777" w:rsidR="005C6258" w:rsidRPr="00E439FA" w:rsidRDefault="005C6258" w:rsidP="005C6258">
      <w:pPr>
        <w:pBdr>
          <w:top w:val="nil"/>
          <w:left w:val="nil"/>
          <w:bottom w:val="nil"/>
          <w:right w:val="nil"/>
          <w:between w:val="nil"/>
        </w:pBdr>
        <w:spacing w:before="120" w:after="0" w:line="360" w:lineRule="auto"/>
        <w:jc w:val="both"/>
        <w:rPr>
          <w:rFonts w:ascii="Times New Roman" w:hAnsi="Times New Roman" w:cs="Times New Roman"/>
          <w:b/>
          <w:bCs/>
          <w:i/>
          <w:iCs/>
          <w:sz w:val="24"/>
          <w:szCs w:val="24"/>
          <w:lang w:val="en-GB"/>
        </w:rPr>
      </w:pPr>
    </w:p>
    <w:p w14:paraId="602AF213" w14:textId="3D65B872"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b/>
          <w:bCs/>
          <w:i/>
          <w:iCs/>
          <w:sz w:val="24"/>
          <w:szCs w:val="24"/>
          <w:lang w:val="en-GB"/>
        </w:rPr>
      </w:pPr>
      <w:r w:rsidRPr="00E439FA">
        <w:rPr>
          <w:rFonts w:ascii="Times New Roman" w:hAnsi="Times New Roman" w:cs="Times New Roman"/>
          <w:b/>
          <w:bCs/>
          <w:i/>
          <w:iCs/>
          <w:sz w:val="24"/>
          <w:szCs w:val="24"/>
          <w:lang w:val="en-GB"/>
        </w:rPr>
        <w:t>Reliability and limitations</w:t>
      </w:r>
    </w:p>
    <w:p w14:paraId="6A9599E4"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participation of ten companies is a limitation in terms of statistical representativeness. Their significant weight in the national market nonetheless provides analytical value to the sample. The absence of data from informal producers and small distributors narrows the scope of the results, but the chosen approach allows the identification of strong trends in the sector’s dominant practices.</w:t>
      </w:r>
    </w:p>
    <w:p w14:paraId="083DBB9D" w14:textId="77777777" w:rsidR="007C27F7" w:rsidRPr="00E439FA" w:rsidRDefault="007C27F7"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p>
    <w:p w14:paraId="43532C35" w14:textId="50232CBF" w:rsidR="007C27F7" w:rsidRPr="00DC5285" w:rsidRDefault="00CF07B0" w:rsidP="005C6258">
      <w:pPr>
        <w:pStyle w:val="Titre2"/>
        <w:spacing w:before="120" w:line="360" w:lineRule="auto"/>
        <w:jc w:val="both"/>
        <w:rPr>
          <w:color w:val="auto"/>
          <w:sz w:val="24"/>
          <w:szCs w:val="24"/>
          <w:lang w:val="en-GB"/>
        </w:rPr>
      </w:pPr>
      <w:r w:rsidRPr="00DC5285">
        <w:rPr>
          <w:color w:val="auto"/>
          <w:sz w:val="24"/>
          <w:szCs w:val="24"/>
          <w:lang w:val="en-GB"/>
        </w:rPr>
        <w:t xml:space="preserve">Results and </w:t>
      </w:r>
      <w:r w:rsidR="00A662D8" w:rsidRPr="00DC5285">
        <w:rPr>
          <w:color w:val="auto"/>
          <w:sz w:val="24"/>
          <w:szCs w:val="24"/>
          <w:lang w:val="en-GB"/>
        </w:rPr>
        <w:t>D</w:t>
      </w:r>
      <w:r w:rsidRPr="00DC5285">
        <w:rPr>
          <w:color w:val="auto"/>
          <w:sz w:val="24"/>
          <w:szCs w:val="24"/>
          <w:lang w:val="en-GB"/>
        </w:rPr>
        <w:t xml:space="preserve">iscussion </w:t>
      </w:r>
    </w:p>
    <w:p w14:paraId="68D3D39B"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Figures 1 and 2 show, respectively, the distribution of materials used by Moroccan companies for the production of agricultural mulch films and the types of films produced. </w:t>
      </w:r>
      <w:r w:rsidRPr="00E439FA">
        <w:rPr>
          <w:rFonts w:ascii="Times New Roman" w:hAnsi="Times New Roman" w:cs="Times New Roman"/>
          <w:sz w:val="24"/>
          <w:szCs w:val="24"/>
          <w:lang w:val="en-GB"/>
        </w:rPr>
        <w:t>These data provide a clearer understanding of the technological choices favoured by the sector and the dominant production trends.</w:t>
      </w:r>
    </w:p>
    <w:p w14:paraId="2169BFCC" w14:textId="77777777" w:rsidR="007C27F7" w:rsidRPr="005C6258" w:rsidRDefault="00CF07B0" w:rsidP="005C6258">
      <w:pPr>
        <w:pBdr>
          <w:top w:val="nil"/>
          <w:left w:val="nil"/>
          <w:bottom w:val="nil"/>
          <w:right w:val="nil"/>
          <w:between w:val="nil"/>
        </w:pBdr>
        <w:spacing w:before="120" w:after="120" w:line="360" w:lineRule="auto"/>
        <w:jc w:val="center"/>
        <w:rPr>
          <w:rFonts w:ascii="Times New Roman" w:hAnsi="Times New Roman" w:cs="Times New Roman"/>
          <w:sz w:val="24"/>
          <w:szCs w:val="24"/>
        </w:rPr>
      </w:pPr>
      <w:r w:rsidRPr="005C6258">
        <w:rPr>
          <w:rFonts w:ascii="Times New Roman" w:hAnsi="Times New Roman" w:cs="Times New Roman"/>
          <w:noProof/>
          <w:sz w:val="24"/>
          <w:szCs w:val="24"/>
        </w:rPr>
        <w:drawing>
          <wp:inline distT="0" distB="0" distL="0" distR="0" wp14:anchorId="76F34D91" wp14:editId="07B6A2EE">
            <wp:extent cx="3773424" cy="3054096"/>
            <wp:effectExtent l="0" t="0" r="0" b="0"/>
            <wp:docPr id="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4"/>
                    <a:srcRect/>
                    <a:stretch>
                      <a:fillRect/>
                    </a:stretch>
                  </pic:blipFill>
                  <pic:spPr>
                    <a:xfrm>
                      <a:off x="0" y="0"/>
                      <a:ext cx="3773424" cy="3054096"/>
                    </a:xfrm>
                    <a:prstGeom prst="rect">
                      <a:avLst/>
                    </a:prstGeom>
                    <a:ln/>
                  </pic:spPr>
                </pic:pic>
              </a:graphicData>
            </a:graphic>
          </wp:inline>
        </w:drawing>
      </w:r>
    </w:p>
    <w:p w14:paraId="70EFAA75" w14:textId="77777777" w:rsidR="007C27F7" w:rsidRPr="00E439FA" w:rsidRDefault="00CF07B0" w:rsidP="005C6258">
      <w:pPr>
        <w:pBdr>
          <w:top w:val="nil"/>
          <w:left w:val="nil"/>
          <w:bottom w:val="nil"/>
          <w:right w:val="nil"/>
          <w:between w:val="nil"/>
        </w:pBdr>
        <w:spacing w:before="120" w:after="0" w:line="360" w:lineRule="auto"/>
        <w:jc w:val="center"/>
        <w:rPr>
          <w:rFonts w:ascii="Times New Roman" w:hAnsi="Times New Roman" w:cs="Times New Roman"/>
          <w:sz w:val="24"/>
          <w:szCs w:val="24"/>
          <w:lang w:val="en-GB"/>
        </w:rPr>
      </w:pPr>
      <w:bookmarkStart w:id="2" w:name="_2on7u3cq8ffw" w:colFirst="0" w:colLast="0"/>
      <w:bookmarkEnd w:id="2"/>
      <w:r w:rsidRPr="00E439FA">
        <w:rPr>
          <w:rFonts w:ascii="Times New Roman" w:hAnsi="Times New Roman" w:cs="Times New Roman"/>
          <w:b/>
          <w:bCs/>
          <w:sz w:val="24"/>
          <w:szCs w:val="24"/>
          <w:lang w:val="en-GB"/>
        </w:rPr>
        <w:t xml:space="preserve">Figure 1. </w:t>
      </w:r>
      <w:r w:rsidRPr="00E439FA">
        <w:rPr>
          <w:rFonts w:ascii="Times New Roman" w:hAnsi="Times New Roman" w:cs="Times New Roman"/>
          <w:sz w:val="24"/>
          <w:szCs w:val="24"/>
          <w:lang w:val="en-GB"/>
        </w:rPr>
        <w:t>Materials used by the companies interviewed</w:t>
      </w:r>
    </w:p>
    <w:p w14:paraId="356B30EF" w14:textId="77777777" w:rsidR="007C27F7" w:rsidRPr="00E439FA" w:rsidRDefault="00CF07B0" w:rsidP="005C6258">
      <w:pPr>
        <w:pBdr>
          <w:top w:val="nil"/>
          <w:left w:val="nil"/>
          <w:bottom w:val="nil"/>
          <w:right w:val="nil"/>
          <w:between w:val="nil"/>
        </w:pBdr>
        <w:spacing w:before="120" w:after="12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Figure 1 shows that low-density polyethylene (LDPE) dominates the chart with a 50% share, followed by linear low-density polyethylene (LLDPE) with 40%. This reflects the importance of these two materials, which are considered benchmarks for agricultural films, mainly because of their favourable cost–performance ratio for users. Research [31, 32] indicates that LLDPE presents certain processing limitations. It is more difficult to extrude owing to its low polydispersity (narrow molecular-weight distribution), which can cause surface irregularities such as cracks, misalignments, or deformations.</w:t>
      </w:r>
    </w:p>
    <w:p w14:paraId="6C40FFFD" w14:textId="77777777" w:rsidR="007C27F7" w:rsidRPr="00E439FA" w:rsidRDefault="00CF07B0" w:rsidP="005C6258">
      <w:pPr>
        <w:pBdr>
          <w:top w:val="nil"/>
          <w:left w:val="nil"/>
          <w:bottom w:val="nil"/>
          <w:right w:val="nil"/>
          <w:between w:val="nil"/>
        </w:pBdr>
        <w:spacing w:before="120" w:after="12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A review of the literature, summarized in Gregory</w:t>
      </w:r>
      <w:r w:rsidRPr="00831243">
        <w:rPr>
          <w:rFonts w:ascii="Times New Roman" w:hAnsi="Times New Roman" w:cs="Times New Roman"/>
          <w:b/>
          <w:bCs/>
          <w:sz w:val="24"/>
          <w:szCs w:val="24"/>
          <w:lang w:val="en-GB"/>
        </w:rPr>
        <w:t xml:space="preserve"> </w:t>
      </w:r>
      <w:r w:rsidRPr="00831243">
        <w:rPr>
          <w:rFonts w:ascii="Times New Roman" w:hAnsi="Times New Roman" w:cs="Times New Roman"/>
          <w:sz w:val="24"/>
          <w:szCs w:val="24"/>
          <w:lang w:val="en-GB"/>
        </w:rPr>
        <w:t xml:space="preserve">[32] Table 1 below, supports these graphical results: both LDPE and LLDPE are widely used in agricultural films. </w:t>
      </w:r>
      <w:r w:rsidRPr="00E439FA">
        <w:rPr>
          <w:rFonts w:ascii="Times New Roman" w:hAnsi="Times New Roman" w:cs="Times New Roman"/>
          <w:sz w:val="24"/>
          <w:szCs w:val="24"/>
          <w:lang w:val="en-GB"/>
        </w:rPr>
        <w:t>Gregory [32] explains that incorporating 25% LLDPE into an LDPE matrix significantly improves the film’s mechanical strength and toughness and facilitates extrusion. This complementarity combines lower cost with greater resistance and stability in agricultural films. Finally, polypropylene (PP) represents only 10% of the chart, which can be attributed to its adaptation to specific uses.</w:t>
      </w:r>
    </w:p>
    <w:p w14:paraId="14A96B79" w14:textId="77777777" w:rsidR="007C27F7" w:rsidRPr="00E439FA" w:rsidRDefault="007C27F7" w:rsidP="005C6258">
      <w:pPr>
        <w:pBdr>
          <w:top w:val="nil"/>
          <w:left w:val="nil"/>
          <w:bottom w:val="nil"/>
          <w:right w:val="nil"/>
          <w:between w:val="nil"/>
        </w:pBdr>
        <w:spacing w:before="120" w:after="120" w:line="360" w:lineRule="auto"/>
        <w:jc w:val="both"/>
        <w:rPr>
          <w:rFonts w:ascii="Times New Roman" w:hAnsi="Times New Roman" w:cs="Times New Roman"/>
          <w:sz w:val="24"/>
          <w:szCs w:val="24"/>
          <w:lang w:val="en-GB"/>
        </w:rPr>
      </w:pPr>
    </w:p>
    <w:p w14:paraId="428CBD46" w14:textId="77E3F561"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b/>
          <w:bCs/>
          <w:sz w:val="24"/>
          <w:szCs w:val="24"/>
          <w:lang w:val="en-GB"/>
        </w:rPr>
      </w:pPr>
      <w:bookmarkStart w:id="3" w:name="_ou5j7kwxl75m" w:colFirst="0" w:colLast="0"/>
      <w:bookmarkEnd w:id="3"/>
      <w:r w:rsidRPr="00E439FA">
        <w:rPr>
          <w:rFonts w:ascii="Times New Roman" w:hAnsi="Times New Roman" w:cs="Times New Roman"/>
          <w:b/>
          <w:bCs/>
          <w:sz w:val="24"/>
          <w:szCs w:val="24"/>
          <w:lang w:val="en-GB"/>
        </w:rPr>
        <w:t xml:space="preserve">Table 1. </w:t>
      </w:r>
      <w:r w:rsidR="00A662D8" w:rsidRPr="00E439FA">
        <w:rPr>
          <w:rFonts w:ascii="Times New Roman" w:hAnsi="Times New Roman" w:cs="Times New Roman"/>
          <w:sz w:val="24"/>
          <w:szCs w:val="24"/>
          <w:lang w:val="en-GB"/>
        </w:rPr>
        <w:t>Polymers used for agricultural films</w:t>
      </w:r>
    </w:p>
    <w:tbl>
      <w:tblPr>
        <w:tblStyle w:val="a1"/>
        <w:tblW w:w="8364" w:type="dxa"/>
        <w:jc w:val="center"/>
        <w:tblInd w:w="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477"/>
        <w:gridCol w:w="2097"/>
        <w:gridCol w:w="1685"/>
        <w:gridCol w:w="3105"/>
      </w:tblGrid>
      <w:tr w:rsidR="005C6258" w:rsidRPr="005C6258" w14:paraId="7FB55AB9" w14:textId="77777777" w:rsidTr="00FD58E1">
        <w:trPr>
          <w:trHeight w:val="184"/>
          <w:jc w:val="center"/>
        </w:trPr>
        <w:tc>
          <w:tcPr>
            <w:tcW w:w="1477" w:type="dxa"/>
          </w:tcPr>
          <w:p w14:paraId="2C4608BD" w14:textId="403A664A" w:rsidR="007C27F7" w:rsidRPr="005C6258" w:rsidRDefault="00CF07B0" w:rsidP="00A662D8">
            <w:pPr>
              <w:spacing w:before="120" w:line="276" w:lineRule="auto"/>
              <w:rPr>
                <w:rFonts w:ascii="Times New Roman" w:hAnsi="Times New Roman" w:cs="Times New Roman"/>
                <w:b/>
                <w:bCs/>
              </w:rPr>
            </w:pPr>
            <w:r w:rsidRPr="005C6258">
              <w:rPr>
                <w:rFonts w:ascii="Times New Roman" w:hAnsi="Times New Roman" w:cs="Times New Roman"/>
                <w:b/>
                <w:bCs/>
              </w:rPr>
              <w:t>PE T</w:t>
            </w:r>
            <w:r w:rsidR="00A662D8" w:rsidRPr="005C6258">
              <w:rPr>
                <w:rFonts w:ascii="Times New Roman" w:hAnsi="Times New Roman" w:cs="Times New Roman"/>
                <w:b/>
                <w:bCs/>
              </w:rPr>
              <w:t>ype</w:t>
            </w:r>
          </w:p>
        </w:tc>
        <w:tc>
          <w:tcPr>
            <w:tcW w:w="2097" w:type="dxa"/>
          </w:tcPr>
          <w:p w14:paraId="15C9FA21" w14:textId="77777777" w:rsidR="007C27F7" w:rsidRPr="005C6258" w:rsidRDefault="00CF07B0" w:rsidP="00185998">
            <w:pPr>
              <w:spacing w:before="120" w:line="276" w:lineRule="auto"/>
              <w:jc w:val="center"/>
              <w:rPr>
                <w:rFonts w:ascii="Times New Roman" w:hAnsi="Times New Roman" w:cs="Times New Roman"/>
                <w:b/>
                <w:bCs/>
              </w:rPr>
            </w:pPr>
            <w:r w:rsidRPr="005C6258">
              <w:rPr>
                <w:rFonts w:ascii="Times New Roman" w:hAnsi="Times New Roman" w:cs="Times New Roman"/>
                <w:b/>
                <w:bCs/>
              </w:rPr>
              <w:t>M.I (dg/min)</w:t>
            </w:r>
          </w:p>
        </w:tc>
        <w:tc>
          <w:tcPr>
            <w:tcW w:w="1685" w:type="dxa"/>
          </w:tcPr>
          <w:p w14:paraId="008D71B3" w14:textId="22F0EFEB" w:rsidR="007C27F7" w:rsidRPr="005C6258" w:rsidRDefault="00CF07B0" w:rsidP="00E439FA">
            <w:pPr>
              <w:spacing w:before="120" w:line="276" w:lineRule="auto"/>
              <w:jc w:val="center"/>
              <w:rPr>
                <w:rFonts w:ascii="Times New Roman" w:hAnsi="Times New Roman" w:cs="Times New Roman"/>
                <w:b/>
                <w:bCs/>
              </w:rPr>
            </w:pPr>
            <w:r w:rsidRPr="005C6258">
              <w:rPr>
                <w:rFonts w:ascii="Times New Roman" w:hAnsi="Times New Roman" w:cs="Times New Roman"/>
                <w:b/>
                <w:bCs/>
              </w:rPr>
              <w:t>D</w:t>
            </w:r>
            <w:r w:rsidR="00A662D8" w:rsidRPr="005C6258">
              <w:rPr>
                <w:rFonts w:ascii="Times New Roman" w:hAnsi="Times New Roman" w:cs="Times New Roman"/>
                <w:b/>
                <w:bCs/>
              </w:rPr>
              <w:t>ensity</w:t>
            </w:r>
            <w:r w:rsidRPr="005C6258">
              <w:rPr>
                <w:rFonts w:ascii="Times New Roman" w:hAnsi="Times New Roman" w:cs="Times New Roman"/>
                <w:b/>
                <w:bCs/>
              </w:rPr>
              <w:t xml:space="preserve"> (g/cm³)</w:t>
            </w:r>
          </w:p>
        </w:tc>
        <w:tc>
          <w:tcPr>
            <w:tcW w:w="3105" w:type="dxa"/>
          </w:tcPr>
          <w:p w14:paraId="4D4F8BDC" w14:textId="3D5C8C8D" w:rsidR="007C27F7" w:rsidRPr="005C6258" w:rsidRDefault="00CF07B0" w:rsidP="00141F84">
            <w:pPr>
              <w:spacing w:before="120" w:line="276" w:lineRule="auto"/>
              <w:rPr>
                <w:rFonts w:ascii="Times New Roman" w:hAnsi="Times New Roman" w:cs="Times New Roman"/>
                <w:b/>
                <w:bCs/>
              </w:rPr>
            </w:pPr>
            <w:r w:rsidRPr="005C6258">
              <w:rPr>
                <w:rFonts w:ascii="Times New Roman" w:hAnsi="Times New Roman" w:cs="Times New Roman"/>
                <w:b/>
                <w:bCs/>
              </w:rPr>
              <w:t>C</w:t>
            </w:r>
            <w:r w:rsidR="00A662D8" w:rsidRPr="005C6258">
              <w:rPr>
                <w:rFonts w:ascii="Times New Roman" w:hAnsi="Times New Roman" w:cs="Times New Roman"/>
                <w:b/>
                <w:bCs/>
              </w:rPr>
              <w:t>omment</w:t>
            </w:r>
          </w:p>
        </w:tc>
      </w:tr>
      <w:tr w:rsidR="005C6258" w:rsidRPr="005C6258" w14:paraId="2898D170" w14:textId="77777777" w:rsidTr="00FD58E1">
        <w:trPr>
          <w:trHeight w:val="369"/>
          <w:jc w:val="center"/>
        </w:trPr>
        <w:tc>
          <w:tcPr>
            <w:tcW w:w="1477" w:type="dxa"/>
          </w:tcPr>
          <w:p w14:paraId="6B6674C6"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549ABCA6"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0.2</w:t>
            </w:r>
          </w:p>
        </w:tc>
        <w:tc>
          <w:tcPr>
            <w:tcW w:w="1685" w:type="dxa"/>
          </w:tcPr>
          <w:p w14:paraId="4F441BB9"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0.919</w:t>
            </w:r>
          </w:p>
        </w:tc>
        <w:tc>
          <w:tcPr>
            <w:tcW w:w="3105" w:type="dxa"/>
          </w:tcPr>
          <w:p w14:paraId="02E865DF"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Mulch, silage, tunnels</w:t>
            </w:r>
          </w:p>
        </w:tc>
      </w:tr>
      <w:tr w:rsidR="005C6258" w:rsidRPr="005C6258" w14:paraId="3E13B16A" w14:textId="77777777" w:rsidTr="00FD58E1">
        <w:trPr>
          <w:trHeight w:val="184"/>
          <w:jc w:val="center"/>
        </w:trPr>
        <w:tc>
          <w:tcPr>
            <w:tcW w:w="1477" w:type="dxa"/>
          </w:tcPr>
          <w:p w14:paraId="09A77CBA"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7968972D"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0.3</w:t>
            </w:r>
          </w:p>
        </w:tc>
        <w:tc>
          <w:tcPr>
            <w:tcW w:w="1685" w:type="dxa"/>
          </w:tcPr>
          <w:p w14:paraId="3C7C8E9C"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0.922</w:t>
            </w:r>
          </w:p>
        </w:tc>
        <w:tc>
          <w:tcPr>
            <w:tcW w:w="3105" w:type="dxa"/>
          </w:tcPr>
          <w:p w14:paraId="1177DADB"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Tunnels, silage</w:t>
            </w:r>
          </w:p>
        </w:tc>
      </w:tr>
      <w:tr w:rsidR="005C6258" w:rsidRPr="005C6258" w14:paraId="4B2F6A5A" w14:textId="77777777" w:rsidTr="00FD58E1">
        <w:trPr>
          <w:trHeight w:val="184"/>
          <w:jc w:val="center"/>
        </w:trPr>
        <w:tc>
          <w:tcPr>
            <w:tcW w:w="1477" w:type="dxa"/>
          </w:tcPr>
          <w:p w14:paraId="148A0FA5"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0F86E225"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0.4</w:t>
            </w:r>
          </w:p>
        </w:tc>
        <w:tc>
          <w:tcPr>
            <w:tcW w:w="1685" w:type="dxa"/>
          </w:tcPr>
          <w:p w14:paraId="449E5792"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0.923</w:t>
            </w:r>
          </w:p>
        </w:tc>
        <w:tc>
          <w:tcPr>
            <w:tcW w:w="3105" w:type="dxa"/>
          </w:tcPr>
          <w:p w14:paraId="09924360"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Greenhouse</w:t>
            </w:r>
          </w:p>
        </w:tc>
      </w:tr>
      <w:tr w:rsidR="005C6258" w:rsidRPr="005C6258" w14:paraId="180D1ED5" w14:textId="77777777" w:rsidTr="00FD58E1">
        <w:trPr>
          <w:trHeight w:val="184"/>
          <w:jc w:val="center"/>
        </w:trPr>
        <w:tc>
          <w:tcPr>
            <w:tcW w:w="1477" w:type="dxa"/>
          </w:tcPr>
          <w:p w14:paraId="750FEC8A"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7EF24EE8"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0.4</w:t>
            </w:r>
          </w:p>
        </w:tc>
        <w:tc>
          <w:tcPr>
            <w:tcW w:w="1685" w:type="dxa"/>
          </w:tcPr>
          <w:p w14:paraId="30CA2653"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0.950</w:t>
            </w:r>
          </w:p>
        </w:tc>
        <w:tc>
          <w:tcPr>
            <w:tcW w:w="3105" w:type="dxa"/>
          </w:tcPr>
          <w:p w14:paraId="562D045C"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Greenhouse</w:t>
            </w:r>
          </w:p>
        </w:tc>
      </w:tr>
      <w:tr w:rsidR="005C6258" w:rsidRPr="005C6258" w14:paraId="21721796" w14:textId="77777777" w:rsidTr="00FD58E1">
        <w:trPr>
          <w:trHeight w:val="184"/>
          <w:jc w:val="center"/>
        </w:trPr>
        <w:tc>
          <w:tcPr>
            <w:tcW w:w="1477" w:type="dxa"/>
          </w:tcPr>
          <w:p w14:paraId="4A6489F3"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0E0D0E71"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0.4</w:t>
            </w:r>
          </w:p>
        </w:tc>
        <w:tc>
          <w:tcPr>
            <w:tcW w:w="1685" w:type="dxa"/>
          </w:tcPr>
          <w:p w14:paraId="25EFAC64"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0.924</w:t>
            </w:r>
          </w:p>
        </w:tc>
        <w:tc>
          <w:tcPr>
            <w:tcW w:w="3105" w:type="dxa"/>
          </w:tcPr>
          <w:p w14:paraId="76B539AA"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2 &amp; 4 season film</w:t>
            </w:r>
          </w:p>
        </w:tc>
      </w:tr>
      <w:tr w:rsidR="005C6258" w:rsidRPr="005C6258" w14:paraId="59C1634E" w14:textId="77777777" w:rsidTr="00FD58E1">
        <w:trPr>
          <w:trHeight w:val="184"/>
          <w:jc w:val="center"/>
        </w:trPr>
        <w:tc>
          <w:tcPr>
            <w:tcW w:w="1477" w:type="dxa"/>
          </w:tcPr>
          <w:p w14:paraId="30FF8D77"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56E2DC01"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0.5</w:t>
            </w:r>
          </w:p>
        </w:tc>
        <w:tc>
          <w:tcPr>
            <w:tcW w:w="1685" w:type="dxa"/>
          </w:tcPr>
          <w:p w14:paraId="581F0108"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0.918</w:t>
            </w:r>
          </w:p>
        </w:tc>
        <w:tc>
          <w:tcPr>
            <w:tcW w:w="3105" w:type="dxa"/>
          </w:tcPr>
          <w:p w14:paraId="3877749C"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Greenhouse</w:t>
            </w:r>
          </w:p>
        </w:tc>
      </w:tr>
      <w:tr w:rsidR="005C6258" w:rsidRPr="005C6258" w14:paraId="7EA9CC2E" w14:textId="77777777" w:rsidTr="00FD58E1">
        <w:trPr>
          <w:trHeight w:val="184"/>
          <w:jc w:val="center"/>
        </w:trPr>
        <w:tc>
          <w:tcPr>
            <w:tcW w:w="1477" w:type="dxa"/>
          </w:tcPr>
          <w:p w14:paraId="6B0B90FC"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35C5F1BC"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0.6</w:t>
            </w:r>
          </w:p>
        </w:tc>
        <w:tc>
          <w:tcPr>
            <w:tcW w:w="1685" w:type="dxa"/>
          </w:tcPr>
          <w:p w14:paraId="05D77937"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0.920</w:t>
            </w:r>
          </w:p>
        </w:tc>
        <w:tc>
          <w:tcPr>
            <w:tcW w:w="3105" w:type="dxa"/>
          </w:tcPr>
          <w:p w14:paraId="3651E422"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3 seasons</w:t>
            </w:r>
          </w:p>
        </w:tc>
      </w:tr>
      <w:tr w:rsidR="005C6258" w:rsidRPr="005C6258" w14:paraId="145754E3" w14:textId="77777777" w:rsidTr="00FD58E1">
        <w:trPr>
          <w:trHeight w:val="184"/>
          <w:jc w:val="center"/>
        </w:trPr>
        <w:tc>
          <w:tcPr>
            <w:tcW w:w="1477" w:type="dxa"/>
          </w:tcPr>
          <w:p w14:paraId="530B0D20"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6A036D99"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0.6</w:t>
            </w:r>
          </w:p>
        </w:tc>
        <w:tc>
          <w:tcPr>
            <w:tcW w:w="1685" w:type="dxa"/>
          </w:tcPr>
          <w:p w14:paraId="209072C8"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0.926</w:t>
            </w:r>
          </w:p>
        </w:tc>
        <w:tc>
          <w:tcPr>
            <w:tcW w:w="3105" w:type="dxa"/>
          </w:tcPr>
          <w:p w14:paraId="60902138"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Tunnels</w:t>
            </w:r>
          </w:p>
        </w:tc>
      </w:tr>
      <w:tr w:rsidR="005C6258" w:rsidRPr="00C93BBB" w14:paraId="6B89E86C" w14:textId="77777777" w:rsidTr="00FD58E1">
        <w:trPr>
          <w:trHeight w:val="332"/>
          <w:jc w:val="center"/>
        </w:trPr>
        <w:tc>
          <w:tcPr>
            <w:tcW w:w="1477" w:type="dxa"/>
          </w:tcPr>
          <w:p w14:paraId="75603F62"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086C9847"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2.0</w:t>
            </w:r>
          </w:p>
        </w:tc>
        <w:tc>
          <w:tcPr>
            <w:tcW w:w="1685" w:type="dxa"/>
          </w:tcPr>
          <w:p w14:paraId="491A9111"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0.918</w:t>
            </w:r>
          </w:p>
        </w:tc>
        <w:tc>
          <w:tcPr>
            <w:tcW w:w="3105" w:type="dxa"/>
          </w:tcPr>
          <w:p w14:paraId="1B3C18A3" w14:textId="77777777" w:rsidR="007C27F7" w:rsidRPr="00E439FA" w:rsidRDefault="00CF07B0" w:rsidP="00141F84">
            <w:pPr>
              <w:spacing w:before="120" w:line="276" w:lineRule="auto"/>
              <w:rPr>
                <w:rFonts w:ascii="Times New Roman" w:hAnsi="Times New Roman" w:cs="Times New Roman"/>
                <w:lang w:val="en-GB"/>
              </w:rPr>
            </w:pPr>
            <w:r w:rsidRPr="00E439FA">
              <w:rPr>
                <w:rFonts w:ascii="Times New Roman" w:hAnsi="Times New Roman" w:cs="Times New Roman"/>
                <w:lang w:val="en-GB"/>
              </w:rPr>
              <w:t>GP film (tunnels/mulch/cover)</w:t>
            </w:r>
          </w:p>
        </w:tc>
      </w:tr>
      <w:tr w:rsidR="005C6258" w:rsidRPr="005C6258" w14:paraId="444C6F38" w14:textId="77777777" w:rsidTr="00FD58E1">
        <w:trPr>
          <w:trHeight w:val="369"/>
          <w:jc w:val="center"/>
        </w:trPr>
        <w:tc>
          <w:tcPr>
            <w:tcW w:w="1477" w:type="dxa"/>
          </w:tcPr>
          <w:p w14:paraId="24A674D1"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LDPE</w:t>
            </w:r>
          </w:p>
        </w:tc>
        <w:tc>
          <w:tcPr>
            <w:tcW w:w="2097" w:type="dxa"/>
          </w:tcPr>
          <w:p w14:paraId="20DC39E3"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2.0</w:t>
            </w:r>
          </w:p>
        </w:tc>
        <w:tc>
          <w:tcPr>
            <w:tcW w:w="1685" w:type="dxa"/>
          </w:tcPr>
          <w:p w14:paraId="3BA589A4"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0.917</w:t>
            </w:r>
          </w:p>
        </w:tc>
        <w:tc>
          <w:tcPr>
            <w:tcW w:w="3105" w:type="dxa"/>
          </w:tcPr>
          <w:p w14:paraId="589E19B1"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GP film (mulch/cover)</w:t>
            </w:r>
          </w:p>
        </w:tc>
      </w:tr>
      <w:tr w:rsidR="005C6258" w:rsidRPr="005C6258" w14:paraId="29171199" w14:textId="77777777" w:rsidTr="00FD58E1">
        <w:trPr>
          <w:trHeight w:val="369"/>
          <w:jc w:val="center"/>
        </w:trPr>
        <w:tc>
          <w:tcPr>
            <w:tcW w:w="1477" w:type="dxa"/>
          </w:tcPr>
          <w:p w14:paraId="4353A1F8"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LLDPE</w:t>
            </w:r>
          </w:p>
        </w:tc>
        <w:tc>
          <w:tcPr>
            <w:tcW w:w="2097" w:type="dxa"/>
          </w:tcPr>
          <w:p w14:paraId="7A796CC6"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0.20</w:t>
            </w:r>
          </w:p>
        </w:tc>
        <w:tc>
          <w:tcPr>
            <w:tcW w:w="1685" w:type="dxa"/>
          </w:tcPr>
          <w:p w14:paraId="1F4EE549"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0.918</w:t>
            </w:r>
          </w:p>
        </w:tc>
        <w:tc>
          <w:tcPr>
            <w:tcW w:w="3105" w:type="dxa"/>
          </w:tcPr>
          <w:p w14:paraId="30BEF704"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Silage bags and blending</w:t>
            </w:r>
          </w:p>
        </w:tc>
      </w:tr>
      <w:tr w:rsidR="005C6258" w:rsidRPr="005C6258" w14:paraId="1ECCCB46" w14:textId="77777777" w:rsidTr="00FD58E1">
        <w:trPr>
          <w:trHeight w:val="369"/>
          <w:jc w:val="center"/>
        </w:trPr>
        <w:tc>
          <w:tcPr>
            <w:tcW w:w="1477" w:type="dxa"/>
          </w:tcPr>
          <w:p w14:paraId="750AD672"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LLDPE</w:t>
            </w:r>
          </w:p>
        </w:tc>
        <w:tc>
          <w:tcPr>
            <w:tcW w:w="2097" w:type="dxa"/>
          </w:tcPr>
          <w:p w14:paraId="3BD1D8A3"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0.30</w:t>
            </w:r>
          </w:p>
        </w:tc>
        <w:tc>
          <w:tcPr>
            <w:tcW w:w="1685" w:type="dxa"/>
          </w:tcPr>
          <w:p w14:paraId="7C70BD67"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0.919</w:t>
            </w:r>
          </w:p>
        </w:tc>
        <w:tc>
          <w:tcPr>
            <w:tcW w:w="3105" w:type="dxa"/>
          </w:tcPr>
          <w:p w14:paraId="0C1F109B"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Silage bags and blending</w:t>
            </w:r>
          </w:p>
        </w:tc>
      </w:tr>
      <w:tr w:rsidR="005C6258" w:rsidRPr="005C6258" w14:paraId="2BCC4F3F" w14:textId="77777777" w:rsidTr="00FD58E1">
        <w:trPr>
          <w:trHeight w:val="184"/>
          <w:jc w:val="center"/>
        </w:trPr>
        <w:tc>
          <w:tcPr>
            <w:tcW w:w="1477" w:type="dxa"/>
          </w:tcPr>
          <w:p w14:paraId="319F026A"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LLDPE</w:t>
            </w:r>
          </w:p>
        </w:tc>
        <w:tc>
          <w:tcPr>
            <w:tcW w:w="2097" w:type="dxa"/>
          </w:tcPr>
          <w:p w14:paraId="3C2C6903"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0.40</w:t>
            </w:r>
          </w:p>
        </w:tc>
        <w:tc>
          <w:tcPr>
            <w:tcW w:w="1685" w:type="dxa"/>
          </w:tcPr>
          <w:p w14:paraId="0EC55D07"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0.922</w:t>
            </w:r>
          </w:p>
        </w:tc>
        <w:tc>
          <w:tcPr>
            <w:tcW w:w="3105" w:type="dxa"/>
          </w:tcPr>
          <w:p w14:paraId="448E8D37"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Blending/tunnels</w:t>
            </w:r>
          </w:p>
        </w:tc>
      </w:tr>
      <w:tr w:rsidR="005C6258" w:rsidRPr="005C6258" w14:paraId="45386241" w14:textId="77777777" w:rsidTr="00FD58E1">
        <w:trPr>
          <w:trHeight w:val="184"/>
          <w:jc w:val="center"/>
        </w:trPr>
        <w:tc>
          <w:tcPr>
            <w:tcW w:w="1477" w:type="dxa"/>
          </w:tcPr>
          <w:p w14:paraId="5808FCAD"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LLDPE</w:t>
            </w:r>
          </w:p>
        </w:tc>
        <w:tc>
          <w:tcPr>
            <w:tcW w:w="2097" w:type="dxa"/>
          </w:tcPr>
          <w:p w14:paraId="6BD25C0D"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0.90</w:t>
            </w:r>
          </w:p>
        </w:tc>
        <w:tc>
          <w:tcPr>
            <w:tcW w:w="1685" w:type="dxa"/>
          </w:tcPr>
          <w:p w14:paraId="00224B73"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0.917</w:t>
            </w:r>
          </w:p>
        </w:tc>
        <w:tc>
          <w:tcPr>
            <w:tcW w:w="3105" w:type="dxa"/>
          </w:tcPr>
          <w:p w14:paraId="3EB51D78"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Tunnels, mulch</w:t>
            </w:r>
          </w:p>
        </w:tc>
      </w:tr>
      <w:tr w:rsidR="005C6258" w:rsidRPr="005C6258" w14:paraId="1B57C0D8" w14:textId="77777777" w:rsidTr="00FD58E1">
        <w:trPr>
          <w:trHeight w:val="369"/>
          <w:jc w:val="center"/>
        </w:trPr>
        <w:tc>
          <w:tcPr>
            <w:tcW w:w="1477" w:type="dxa"/>
          </w:tcPr>
          <w:p w14:paraId="1F1E41CA"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LLDPE</w:t>
            </w:r>
          </w:p>
        </w:tc>
        <w:tc>
          <w:tcPr>
            <w:tcW w:w="2097" w:type="dxa"/>
          </w:tcPr>
          <w:p w14:paraId="66CEA49E"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1.0</w:t>
            </w:r>
          </w:p>
        </w:tc>
        <w:tc>
          <w:tcPr>
            <w:tcW w:w="1685" w:type="dxa"/>
          </w:tcPr>
          <w:p w14:paraId="208E311E"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0.923</w:t>
            </w:r>
          </w:p>
        </w:tc>
        <w:tc>
          <w:tcPr>
            <w:tcW w:w="3105" w:type="dxa"/>
          </w:tcPr>
          <w:p w14:paraId="09FF1F13"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Silage bags and blending</w:t>
            </w:r>
          </w:p>
        </w:tc>
      </w:tr>
      <w:tr w:rsidR="005C6258" w:rsidRPr="005C6258" w14:paraId="61617A07" w14:textId="77777777" w:rsidTr="00FD58E1">
        <w:trPr>
          <w:trHeight w:val="369"/>
          <w:jc w:val="center"/>
        </w:trPr>
        <w:tc>
          <w:tcPr>
            <w:tcW w:w="1477" w:type="dxa"/>
          </w:tcPr>
          <w:p w14:paraId="108DE701" w14:textId="77777777" w:rsidR="007C27F7" w:rsidRPr="005C6258" w:rsidRDefault="00CF07B0" w:rsidP="00A662D8">
            <w:pPr>
              <w:spacing w:before="120" w:line="276" w:lineRule="auto"/>
              <w:rPr>
                <w:rFonts w:ascii="Times New Roman" w:hAnsi="Times New Roman" w:cs="Times New Roman"/>
              </w:rPr>
            </w:pPr>
            <w:r w:rsidRPr="005C6258">
              <w:rPr>
                <w:rFonts w:ascii="Times New Roman" w:hAnsi="Times New Roman" w:cs="Times New Roman"/>
              </w:rPr>
              <w:t>LLDPE</w:t>
            </w:r>
          </w:p>
        </w:tc>
        <w:tc>
          <w:tcPr>
            <w:tcW w:w="2097" w:type="dxa"/>
          </w:tcPr>
          <w:p w14:paraId="2EE3BE3F" w14:textId="77777777" w:rsidR="007C27F7" w:rsidRPr="005C6258" w:rsidRDefault="00CF07B0" w:rsidP="00185998">
            <w:pPr>
              <w:spacing w:before="120" w:line="276" w:lineRule="auto"/>
              <w:jc w:val="center"/>
              <w:rPr>
                <w:rFonts w:ascii="Times New Roman" w:hAnsi="Times New Roman" w:cs="Times New Roman"/>
              </w:rPr>
            </w:pPr>
            <w:r w:rsidRPr="005C6258">
              <w:rPr>
                <w:rFonts w:ascii="Times New Roman" w:hAnsi="Times New Roman" w:cs="Times New Roman"/>
              </w:rPr>
              <w:t>2.0</w:t>
            </w:r>
          </w:p>
        </w:tc>
        <w:tc>
          <w:tcPr>
            <w:tcW w:w="1685" w:type="dxa"/>
          </w:tcPr>
          <w:p w14:paraId="72064928" w14:textId="77777777" w:rsidR="007C27F7" w:rsidRPr="005C6258" w:rsidRDefault="00CF07B0" w:rsidP="00E439FA">
            <w:pPr>
              <w:spacing w:before="120" w:line="276" w:lineRule="auto"/>
              <w:jc w:val="center"/>
              <w:rPr>
                <w:rFonts w:ascii="Times New Roman" w:hAnsi="Times New Roman" w:cs="Times New Roman"/>
              </w:rPr>
            </w:pPr>
            <w:r w:rsidRPr="005C6258">
              <w:rPr>
                <w:rFonts w:ascii="Times New Roman" w:hAnsi="Times New Roman" w:cs="Times New Roman"/>
              </w:rPr>
              <w:t>0.926</w:t>
            </w:r>
          </w:p>
        </w:tc>
        <w:tc>
          <w:tcPr>
            <w:tcW w:w="3105" w:type="dxa"/>
          </w:tcPr>
          <w:p w14:paraId="76316E4D" w14:textId="77777777" w:rsidR="007C27F7" w:rsidRPr="005C6258" w:rsidRDefault="00CF07B0" w:rsidP="00141F84">
            <w:pPr>
              <w:spacing w:before="120" w:line="276" w:lineRule="auto"/>
              <w:rPr>
                <w:rFonts w:ascii="Times New Roman" w:hAnsi="Times New Roman" w:cs="Times New Roman"/>
              </w:rPr>
            </w:pPr>
            <w:r w:rsidRPr="005C6258">
              <w:rPr>
                <w:rFonts w:ascii="Times New Roman" w:hAnsi="Times New Roman" w:cs="Times New Roman"/>
              </w:rPr>
              <w:t>Silage bags and blending</w:t>
            </w:r>
          </w:p>
        </w:tc>
      </w:tr>
    </w:tbl>
    <w:p w14:paraId="73935AB2" w14:textId="6454F64A" w:rsidR="007C27F7" w:rsidRPr="005C6258" w:rsidRDefault="00FD58E1" w:rsidP="005C6258">
      <w:pPr>
        <w:pBdr>
          <w:top w:val="nil"/>
          <w:left w:val="nil"/>
          <w:bottom w:val="nil"/>
          <w:right w:val="nil"/>
          <w:between w:val="nil"/>
        </w:pBdr>
        <w:spacing w:before="120" w:after="120" w:line="360" w:lineRule="auto"/>
        <w:jc w:val="both"/>
        <w:rPr>
          <w:rFonts w:ascii="Times New Roman" w:hAnsi="Times New Roman" w:cs="Times New Roman"/>
          <w:sz w:val="24"/>
          <w:szCs w:val="24"/>
        </w:rPr>
      </w:pPr>
      <w:r>
        <w:rPr>
          <w:rFonts w:ascii="Times New Roman" w:hAnsi="Times New Roman" w:cs="Times New Roman"/>
        </w:rPr>
        <w:t xml:space="preserve">            </w:t>
      </w:r>
      <w:r w:rsidR="00CF07B0" w:rsidRPr="005C6258">
        <w:rPr>
          <w:rFonts w:ascii="Times New Roman" w:hAnsi="Times New Roman" w:cs="Times New Roman"/>
        </w:rPr>
        <w:t>Source : Gregory [32]</w:t>
      </w:r>
    </w:p>
    <w:p w14:paraId="770B5E0A" w14:textId="77777777" w:rsidR="007C27F7" w:rsidRPr="005C6258" w:rsidRDefault="007C27F7" w:rsidP="005C6258">
      <w:pPr>
        <w:spacing w:before="120"/>
        <w:rPr>
          <w:rFonts w:ascii="Times New Roman" w:hAnsi="Times New Roman" w:cs="Times New Roman"/>
        </w:rPr>
      </w:pPr>
    </w:p>
    <w:p w14:paraId="0A239DBF" w14:textId="77777777" w:rsidR="007C27F7" w:rsidRPr="005C6258" w:rsidRDefault="007C27F7" w:rsidP="005C6258">
      <w:pPr>
        <w:spacing w:before="120"/>
        <w:rPr>
          <w:rFonts w:ascii="Times New Roman" w:hAnsi="Times New Roman" w:cs="Times New Roman"/>
        </w:rPr>
      </w:pPr>
    </w:p>
    <w:p w14:paraId="13676276" w14:textId="77777777" w:rsidR="007C27F7" w:rsidRPr="005C6258" w:rsidRDefault="00CF07B0" w:rsidP="005C6258">
      <w:pPr>
        <w:spacing w:before="120"/>
        <w:jc w:val="center"/>
        <w:rPr>
          <w:rFonts w:ascii="Times New Roman" w:hAnsi="Times New Roman" w:cs="Times New Roman"/>
        </w:rPr>
      </w:pPr>
      <w:r w:rsidRPr="005C6258">
        <w:rPr>
          <w:rFonts w:ascii="Times New Roman" w:hAnsi="Times New Roman" w:cs="Times New Roman"/>
          <w:noProof/>
        </w:rPr>
        <w:drawing>
          <wp:inline distT="0" distB="0" distL="0" distR="0" wp14:anchorId="1768038E" wp14:editId="0C5D228D">
            <wp:extent cx="5071872" cy="3493008"/>
            <wp:effectExtent l="0" t="0" r="0" b="0"/>
            <wp:docPr id="1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5"/>
                    <a:srcRect/>
                    <a:stretch>
                      <a:fillRect/>
                    </a:stretch>
                  </pic:blipFill>
                  <pic:spPr>
                    <a:xfrm>
                      <a:off x="0" y="0"/>
                      <a:ext cx="5071872" cy="3493008"/>
                    </a:xfrm>
                    <a:prstGeom prst="rect">
                      <a:avLst/>
                    </a:prstGeom>
                    <a:ln/>
                  </pic:spPr>
                </pic:pic>
              </a:graphicData>
            </a:graphic>
          </wp:inline>
        </w:drawing>
      </w:r>
    </w:p>
    <w:p w14:paraId="23E53CC6" w14:textId="77777777" w:rsidR="007C27F7" w:rsidRPr="00E439FA" w:rsidRDefault="00CF07B0" w:rsidP="005C6258">
      <w:pPr>
        <w:pBdr>
          <w:top w:val="nil"/>
          <w:left w:val="nil"/>
          <w:bottom w:val="nil"/>
          <w:right w:val="nil"/>
          <w:between w:val="nil"/>
        </w:pBdr>
        <w:spacing w:before="120" w:after="0" w:line="360" w:lineRule="auto"/>
        <w:jc w:val="center"/>
        <w:rPr>
          <w:rFonts w:ascii="Times New Roman" w:hAnsi="Times New Roman" w:cs="Times New Roman"/>
          <w:sz w:val="24"/>
          <w:szCs w:val="24"/>
          <w:highlight w:val="yellow"/>
          <w:lang w:val="en-GB"/>
        </w:rPr>
      </w:pPr>
      <w:bookmarkStart w:id="4" w:name="_i66g8sbi9f69" w:colFirst="0" w:colLast="0"/>
      <w:bookmarkEnd w:id="4"/>
      <w:r w:rsidRPr="00E439FA">
        <w:rPr>
          <w:rFonts w:ascii="Times New Roman" w:hAnsi="Times New Roman" w:cs="Times New Roman"/>
          <w:b/>
          <w:bCs/>
          <w:sz w:val="24"/>
          <w:szCs w:val="24"/>
          <w:lang w:val="en-GB"/>
        </w:rPr>
        <w:t xml:space="preserve">Figure 2. </w:t>
      </w:r>
      <w:r w:rsidRPr="00E439FA">
        <w:rPr>
          <w:rFonts w:ascii="Times New Roman" w:hAnsi="Times New Roman" w:cs="Times New Roman"/>
          <w:sz w:val="24"/>
          <w:szCs w:val="24"/>
          <w:lang w:val="en-GB"/>
        </w:rPr>
        <w:t>Type of film produced by the companies questioned</w:t>
      </w:r>
    </w:p>
    <w:p w14:paraId="2C5940C3" w14:textId="77777777" w:rsidR="007C27F7" w:rsidRPr="00E439FA" w:rsidRDefault="007C27F7"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p>
    <w:p w14:paraId="77164FFA"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Figure 2 illustrates the distribution of plastic film types used by companies. Black plastic film dominates with 67%, reflecting strong market demand. This film is stabilized with carbon black, which makes it resistant to photodegradation. It is widely used for its low cost [33], its superior characteristics compared to intermediate opaque films, its significant ability to reduce soil evapotranspiration, and its efficiency in limiting weed growth [34,35].</w:t>
      </w:r>
    </w:p>
    <w:p w14:paraId="2E07338A"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Scientific studies confirm that black plastic film acts as an almost total absorber of visible and infrared solar radiation. This high absorption of solar energy can cause heat accumulation [36]. In hot or tropical climates, this may lead to scorching of leaves or fruits, damaging crop quality [37, 38].</w:t>
      </w:r>
    </w:p>
    <w:p w14:paraId="6551096D"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Transparent plastic films account for 17% of the chart. Their use by farmers is linked to their ability to promote early yields through rapid soil warming [39]. This type of film has a major limitation related to its weak herbistatic effect. Being translucent, it stimulates weed germination, making it less effective for weed control [40].</w:t>
      </w:r>
    </w:p>
    <w:p w14:paraId="70E381B2"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 xml:space="preserve">Bicolour and transparent plastic films represent only 7% of the chart, showing limited use compared to other types. The adoption of biodegradable films remains financially challenging, as demonstrated by Velandia </w:t>
      </w:r>
      <w:r w:rsidRPr="00E439FA">
        <w:rPr>
          <w:rFonts w:ascii="Times New Roman" w:hAnsi="Times New Roman" w:cs="Times New Roman"/>
          <w:i/>
          <w:iCs/>
          <w:sz w:val="24"/>
          <w:szCs w:val="24"/>
          <w:lang w:val="en-GB"/>
        </w:rPr>
        <w:t>et al.</w:t>
      </w:r>
      <w:r w:rsidRPr="00E439FA">
        <w:rPr>
          <w:rFonts w:ascii="Times New Roman" w:hAnsi="Times New Roman" w:cs="Times New Roman"/>
          <w:sz w:val="24"/>
          <w:szCs w:val="24"/>
          <w:lang w:val="en-GB"/>
        </w:rPr>
        <w:t xml:space="preserve"> </w:t>
      </w:r>
      <w:r w:rsidRPr="00E439FA">
        <w:rPr>
          <w:rFonts w:ascii="Times New Roman" w:hAnsi="Times New Roman" w:cs="Times New Roman"/>
          <w:lang w:val="en-GB"/>
        </w:rPr>
        <w:t xml:space="preserve"> </w:t>
      </w:r>
      <w:r w:rsidRPr="00E439FA">
        <w:rPr>
          <w:rFonts w:ascii="Times New Roman" w:hAnsi="Times New Roman" w:cs="Times New Roman"/>
          <w:sz w:val="24"/>
          <w:szCs w:val="24"/>
          <w:lang w:val="en-GB"/>
        </w:rPr>
        <w:t xml:space="preserve">[41] and Hao </w:t>
      </w:r>
      <w:r w:rsidRPr="00E439FA">
        <w:rPr>
          <w:rFonts w:ascii="Times New Roman" w:hAnsi="Times New Roman" w:cs="Times New Roman"/>
          <w:i/>
          <w:iCs/>
          <w:sz w:val="24"/>
          <w:szCs w:val="24"/>
          <w:lang w:val="en-GB"/>
        </w:rPr>
        <w:t>et al.</w:t>
      </w:r>
      <w:r w:rsidRPr="00E439FA">
        <w:rPr>
          <w:rFonts w:ascii="Times New Roman" w:hAnsi="Times New Roman" w:cs="Times New Roman"/>
          <w:sz w:val="24"/>
          <w:szCs w:val="24"/>
          <w:lang w:val="en-GB"/>
        </w:rPr>
        <w:t xml:space="preserve">  [42]. The significant extra cost of biodegradable mulch films (BDM) compared to conventional polyethylene (PE) films, in addition to transport costs, forms a major obstacle to their adoption by farmers. Public subsidies or economic incentives are therefore needed to encourage their use.</w:t>
      </w:r>
    </w:p>
    <w:p w14:paraId="62F38778"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Although bicolour films offer considerable advantages by combining the benefits of two types of films (heat control and weed suppression) [43], their practicality remains limited. They require more technical installation and are restricted to certain specific crops, which explains their modest position in the market [44,45].</w:t>
      </w:r>
    </w:p>
    <w:p w14:paraId="33A0DF89" w14:textId="77777777" w:rsidR="007C27F7" w:rsidRPr="00E439FA" w:rsidRDefault="007C27F7" w:rsidP="005C6258">
      <w:pPr>
        <w:pBdr>
          <w:top w:val="nil"/>
          <w:left w:val="nil"/>
          <w:bottom w:val="nil"/>
          <w:right w:val="nil"/>
          <w:between w:val="nil"/>
        </w:pBdr>
        <w:spacing w:before="120" w:after="0" w:line="360" w:lineRule="auto"/>
        <w:jc w:val="both"/>
        <w:rPr>
          <w:rFonts w:ascii="Times New Roman" w:hAnsi="Times New Roman" w:cs="Times New Roman"/>
          <w:b/>
          <w:bCs/>
          <w:sz w:val="24"/>
          <w:szCs w:val="24"/>
          <w:lang w:val="en-GB"/>
        </w:rPr>
      </w:pPr>
    </w:p>
    <w:p w14:paraId="3DAC558C" w14:textId="77777777" w:rsidR="007C27F7" w:rsidRPr="005C6258" w:rsidRDefault="00CF07B0" w:rsidP="005C6258">
      <w:pPr>
        <w:pBdr>
          <w:top w:val="nil"/>
          <w:left w:val="nil"/>
          <w:bottom w:val="nil"/>
          <w:right w:val="nil"/>
          <w:between w:val="nil"/>
        </w:pBdr>
        <w:spacing w:before="120" w:after="0" w:line="360" w:lineRule="auto"/>
        <w:jc w:val="center"/>
        <w:rPr>
          <w:rFonts w:ascii="Times New Roman" w:hAnsi="Times New Roman" w:cs="Times New Roman"/>
          <w:b/>
          <w:bCs/>
          <w:sz w:val="24"/>
          <w:szCs w:val="24"/>
        </w:rPr>
      </w:pPr>
      <w:bookmarkStart w:id="5" w:name="_mqklhdajcw2y" w:colFirst="0" w:colLast="0"/>
      <w:bookmarkEnd w:id="5"/>
      <w:r w:rsidRPr="005C6258">
        <w:rPr>
          <w:rFonts w:ascii="Times New Roman" w:hAnsi="Times New Roman" w:cs="Times New Roman"/>
          <w:b/>
          <w:bCs/>
          <w:noProof/>
          <w:sz w:val="24"/>
          <w:szCs w:val="24"/>
        </w:rPr>
        <w:drawing>
          <wp:inline distT="0" distB="0" distL="0" distR="0" wp14:anchorId="6C032508" wp14:editId="3127A00A">
            <wp:extent cx="6348595" cy="2167780"/>
            <wp:effectExtent l="0" t="0" r="0" b="0"/>
            <wp:docPr id="1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6"/>
                    <a:srcRect/>
                    <a:stretch>
                      <a:fillRect/>
                    </a:stretch>
                  </pic:blipFill>
                  <pic:spPr>
                    <a:xfrm>
                      <a:off x="0" y="0"/>
                      <a:ext cx="6348595" cy="2167780"/>
                    </a:xfrm>
                    <a:prstGeom prst="rect">
                      <a:avLst/>
                    </a:prstGeom>
                    <a:ln/>
                  </pic:spPr>
                </pic:pic>
              </a:graphicData>
            </a:graphic>
          </wp:inline>
        </w:drawing>
      </w:r>
    </w:p>
    <w:p w14:paraId="175AC057" w14:textId="77777777" w:rsidR="007C27F7" w:rsidRPr="00831243" w:rsidRDefault="00CF07B0" w:rsidP="005C6258">
      <w:pPr>
        <w:pBdr>
          <w:top w:val="nil"/>
          <w:left w:val="nil"/>
          <w:bottom w:val="nil"/>
          <w:right w:val="nil"/>
          <w:between w:val="nil"/>
        </w:pBdr>
        <w:spacing w:before="120" w:after="0" w:line="360" w:lineRule="auto"/>
        <w:jc w:val="center"/>
        <w:rPr>
          <w:rFonts w:ascii="Times New Roman" w:hAnsi="Times New Roman" w:cs="Times New Roman"/>
          <w:b/>
          <w:bCs/>
          <w:sz w:val="24"/>
          <w:szCs w:val="24"/>
          <w:lang w:val="en-GB"/>
        </w:rPr>
      </w:pPr>
      <w:r w:rsidRPr="00831243">
        <w:rPr>
          <w:rFonts w:ascii="Times New Roman" w:hAnsi="Times New Roman" w:cs="Times New Roman"/>
          <w:b/>
          <w:bCs/>
          <w:sz w:val="24"/>
          <w:szCs w:val="24"/>
          <w:lang w:val="en-GB"/>
        </w:rPr>
        <w:t xml:space="preserve">Figure 1. </w:t>
      </w:r>
      <w:r w:rsidRPr="00831243">
        <w:rPr>
          <w:rFonts w:ascii="Times New Roman" w:hAnsi="Times New Roman" w:cs="Times New Roman"/>
          <w:sz w:val="24"/>
          <w:szCs w:val="24"/>
          <w:lang w:val="en-GB"/>
        </w:rPr>
        <w:t>(a) Recycling rate of surveyed companies; (b) Proportion of companies with a collection program</w:t>
      </w:r>
    </w:p>
    <w:p w14:paraId="0F919357" w14:textId="77777777" w:rsidR="007C27F7" w:rsidRPr="00831243" w:rsidRDefault="007C27F7" w:rsidP="005C6258">
      <w:pPr>
        <w:spacing w:before="120" w:after="0" w:line="360" w:lineRule="auto"/>
        <w:jc w:val="both"/>
        <w:rPr>
          <w:rFonts w:ascii="Times New Roman" w:hAnsi="Times New Roman" w:cs="Times New Roman"/>
          <w:sz w:val="24"/>
          <w:szCs w:val="24"/>
          <w:lang w:val="en-GB"/>
        </w:rPr>
      </w:pPr>
    </w:p>
    <w:p w14:paraId="5ECE19E4" w14:textId="77777777" w:rsidR="007C27F7" w:rsidRPr="00831243" w:rsidRDefault="00CF07B0" w:rsidP="005C625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Agriculture contributes 13% of Morocco’s GDP. According to the results of the 2024 General Population and Housing Census, the Kingdom’s population stands at 36,828,330 inhabitants [46]. The country has over 9 million ha of agricultural land and 30.4 million ha of pastoral land, continuously used for livestock grazing, which underlines the strategic importance of the agricultural sector.</w:t>
      </w:r>
    </w:p>
    <w:p w14:paraId="23C41CE4" w14:textId="77777777" w:rsidR="007C27F7" w:rsidRPr="00831243" w:rsidRDefault="00CF07B0" w:rsidP="005C625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Nevertheless, this sector exerts significant pressure on the ecosystem through soil degradation (erosion, clearing, salinization, desertification, overexploitation) and contributes considerably to national greenhouse gas emissions (24.6%). In addressing these challenges, Morocco has taken a proactive approach by implementing several national structuring programmes. The Green Morocco Plan focused on a circular approach aimed at agricultural waste recovery. More recently, the </w:t>
      </w:r>
      <w:r w:rsidRPr="00831243">
        <w:rPr>
          <w:rFonts w:ascii="Times New Roman" w:hAnsi="Times New Roman" w:cs="Times New Roman"/>
          <w:i/>
          <w:iCs/>
          <w:sz w:val="24"/>
          <w:szCs w:val="24"/>
          <w:lang w:val="en-GB"/>
        </w:rPr>
        <w:t>Generation Green 2020–2030</w:t>
      </w:r>
      <w:r w:rsidRPr="00831243">
        <w:rPr>
          <w:rFonts w:ascii="Times New Roman" w:hAnsi="Times New Roman" w:cs="Times New Roman"/>
          <w:sz w:val="24"/>
          <w:szCs w:val="24"/>
          <w:lang w:val="en-GB"/>
        </w:rPr>
        <w:t xml:space="preserve"> strategy has promoted the sustainable use of these resources. It encourages the growth of an innovative ecosystem mainly driven by research and development and by collaboration among all stakeholders, forming a strategic lever for sustainable agriculture by 2030 [47].</w:t>
      </w:r>
    </w:p>
    <w:p w14:paraId="3595213C"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study explored the practices of mulch film production companies regarding recycling, as shown in Figures 30a and 30b. It was observed that 50% of companies have no collection programme, which aligns with the proportion of 55% that do not carry out any recycling. Only 20% of companies reported having established a collection programme, corresponding to the 27% engaged in recycling more than half of their mulch films. Finally, it is notable that 30% of companies are in the process of implementing their recycling systems. This willingness remains constrained by several causes, which partly explains the 18% of companies limiting recycling to a low level (0–10%). These results will be further analysed using an Ishikawa diagram to identify the underlying causes.</w:t>
      </w:r>
    </w:p>
    <w:p w14:paraId="3528BC6F" w14:textId="77777777" w:rsidR="007C27F7" w:rsidRPr="005C6258" w:rsidRDefault="00CF07B0" w:rsidP="005C6258">
      <w:pPr>
        <w:pBdr>
          <w:top w:val="nil"/>
          <w:left w:val="nil"/>
          <w:bottom w:val="nil"/>
          <w:right w:val="nil"/>
          <w:between w:val="nil"/>
        </w:pBdr>
        <w:spacing w:before="120" w:after="0" w:line="360" w:lineRule="auto"/>
        <w:jc w:val="center"/>
        <w:rPr>
          <w:rFonts w:ascii="Times New Roman" w:hAnsi="Times New Roman" w:cs="Times New Roman"/>
          <w:b/>
          <w:bCs/>
          <w:sz w:val="24"/>
          <w:szCs w:val="24"/>
        </w:rPr>
      </w:pPr>
      <w:bookmarkStart w:id="6" w:name="_89xyqxfmbubm" w:colFirst="0" w:colLast="0"/>
      <w:bookmarkEnd w:id="6"/>
      <w:r w:rsidRPr="005C6258">
        <w:rPr>
          <w:rFonts w:ascii="Times New Roman" w:hAnsi="Times New Roman" w:cs="Times New Roman"/>
          <w:b/>
          <w:bCs/>
          <w:noProof/>
          <w:sz w:val="24"/>
          <w:szCs w:val="24"/>
        </w:rPr>
        <w:drawing>
          <wp:inline distT="0" distB="0" distL="0" distR="0" wp14:anchorId="42E00299" wp14:editId="0F081E78">
            <wp:extent cx="4535424" cy="3194304"/>
            <wp:effectExtent l="0" t="0" r="0" b="0"/>
            <wp:docPr id="1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7"/>
                    <a:srcRect/>
                    <a:stretch>
                      <a:fillRect/>
                    </a:stretch>
                  </pic:blipFill>
                  <pic:spPr>
                    <a:xfrm>
                      <a:off x="0" y="0"/>
                      <a:ext cx="4535424" cy="3194304"/>
                    </a:xfrm>
                    <a:prstGeom prst="rect">
                      <a:avLst/>
                    </a:prstGeom>
                    <a:ln/>
                  </pic:spPr>
                </pic:pic>
              </a:graphicData>
            </a:graphic>
          </wp:inline>
        </w:drawing>
      </w:r>
    </w:p>
    <w:p w14:paraId="69A53D2B" w14:textId="77777777" w:rsidR="007C27F7" w:rsidRPr="00E439FA" w:rsidRDefault="00CF07B0" w:rsidP="005C6258">
      <w:pPr>
        <w:pBdr>
          <w:top w:val="nil"/>
          <w:left w:val="nil"/>
          <w:bottom w:val="nil"/>
          <w:right w:val="nil"/>
          <w:between w:val="nil"/>
        </w:pBdr>
        <w:spacing w:before="120" w:after="0" w:line="360" w:lineRule="auto"/>
        <w:jc w:val="center"/>
        <w:rPr>
          <w:rFonts w:ascii="Times New Roman" w:hAnsi="Times New Roman" w:cs="Times New Roman"/>
          <w:b/>
          <w:bCs/>
          <w:sz w:val="24"/>
          <w:szCs w:val="24"/>
          <w:highlight w:val="yellow"/>
          <w:lang w:val="en-GB"/>
        </w:rPr>
      </w:pPr>
      <w:r w:rsidRPr="00E439FA">
        <w:rPr>
          <w:rFonts w:ascii="Times New Roman" w:hAnsi="Times New Roman" w:cs="Times New Roman"/>
          <w:b/>
          <w:bCs/>
          <w:sz w:val="24"/>
          <w:szCs w:val="24"/>
          <w:lang w:val="en-GB"/>
        </w:rPr>
        <w:t xml:space="preserve">Figure 3. </w:t>
      </w:r>
      <w:r w:rsidRPr="00E439FA">
        <w:rPr>
          <w:rFonts w:ascii="Times New Roman" w:hAnsi="Times New Roman" w:cs="Times New Roman"/>
          <w:sz w:val="24"/>
          <w:szCs w:val="24"/>
          <w:lang w:val="en-GB"/>
        </w:rPr>
        <w:t>Distribution of companies according to possession of environmental certifications or labels</w:t>
      </w:r>
    </w:p>
    <w:p w14:paraId="0328894B" w14:textId="77777777" w:rsidR="007C27F7" w:rsidRPr="00E439FA" w:rsidRDefault="007C27F7" w:rsidP="005C6258">
      <w:pPr>
        <w:spacing w:before="120" w:after="0" w:line="360" w:lineRule="auto"/>
        <w:jc w:val="both"/>
        <w:rPr>
          <w:rFonts w:ascii="Times New Roman" w:hAnsi="Times New Roman" w:cs="Times New Roman"/>
          <w:sz w:val="24"/>
          <w:szCs w:val="24"/>
          <w:lang w:val="en-GB"/>
        </w:rPr>
      </w:pPr>
    </w:p>
    <w:p w14:paraId="4527C096"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According to Figure 3, most companies do not follow an organized approach to control the environmental impacts linked to mulch film production. This can be partly explained by economic factors: a new mulch film costs between 20 and 25.5 MAD/kg, whereas its recovery value is only 1.80 to 2.30 MAD/kg, representing about 9% of its initial value. </w:t>
      </w:r>
      <w:r w:rsidRPr="00E439FA">
        <w:rPr>
          <w:rFonts w:ascii="Times New Roman" w:hAnsi="Times New Roman" w:cs="Times New Roman"/>
          <w:sz w:val="24"/>
          <w:szCs w:val="24"/>
          <w:lang w:val="en-GB"/>
        </w:rPr>
        <w:t xml:space="preserve">This profit remains negligible compared with the expenses generated by the process. The Extended Producer Responsibility (EPR) principle, derived from the “polluter pays” concept, first appeared in France for household waste management. Today, this principle is being developed for the bottling sector in Morocco. According to Benqlilou </w:t>
      </w:r>
      <w:r w:rsidRPr="00E439FA">
        <w:rPr>
          <w:rFonts w:ascii="Times New Roman" w:hAnsi="Times New Roman" w:cs="Times New Roman"/>
          <w:i/>
          <w:iCs/>
          <w:sz w:val="24"/>
          <w:szCs w:val="24"/>
          <w:lang w:val="en-GB"/>
        </w:rPr>
        <w:t>et al.</w:t>
      </w:r>
      <w:r w:rsidRPr="00E439FA">
        <w:rPr>
          <w:rFonts w:ascii="Times New Roman" w:hAnsi="Times New Roman" w:cs="Times New Roman"/>
          <w:sz w:val="24"/>
          <w:szCs w:val="24"/>
          <w:lang w:val="en-GB"/>
        </w:rPr>
        <w:t xml:space="preserve"> [48], integrating EPR into household packaging waste management places greater responsibility on producers than on municipalities. Implementing this system could significantly increase the quantity of processed materials (plastic, glass, cardboard, etc.).</w:t>
      </w:r>
    </w:p>
    <w:p w14:paraId="21141922"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Thus, the mulch film sector remains in a rudimentary state and must align with this system to ensure its recovery. Lamrani-Jouti [49] and Yemli &amp; Bengueddour [50] report that Moroccan companies, particularly SMEs, view the integration of an environmental management system mainly as an additional cost. Yemli &amp; Bengueddour [50], sampling 68 Moroccan companies, confirm this perception.</w:t>
      </w:r>
    </w:p>
    <w:p w14:paraId="1B14E148"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In contrast, the chart shows that a minority of companies have adopted an organizational framework (certifications, labels, or continuing programmes) enabling them to reduce their impacts, engage in continuous improvement, and contribute to ecosystem protection while meeting market expectations and regulatory obligations. This trend is confirmed by Hasnaa [51], who shows that some certified or labelled Moroccan businesses follow an eco-responsible approach. This approach strengthens brand reputation, opens new markets, and improves economic efficiency. Ultimately, it supports the Porter and Van der Linde [52] hypothesis, which states that well-designed environmental regulation stimulates business innovation, balances costs, and enhances competitiveness.</w:t>
      </w:r>
    </w:p>
    <w:p w14:paraId="0B1335EA" w14:textId="77777777" w:rsidR="007C27F7" w:rsidRPr="00E439FA" w:rsidRDefault="007C27F7" w:rsidP="005C6258">
      <w:pPr>
        <w:spacing w:before="120" w:after="0" w:line="360" w:lineRule="auto"/>
        <w:jc w:val="both"/>
        <w:rPr>
          <w:rFonts w:ascii="Times New Roman" w:hAnsi="Times New Roman" w:cs="Times New Roman"/>
          <w:sz w:val="24"/>
          <w:szCs w:val="24"/>
          <w:lang w:val="en-GB"/>
        </w:rPr>
      </w:pPr>
    </w:p>
    <w:p w14:paraId="7B0812AB" w14:textId="77777777" w:rsidR="007C27F7" w:rsidRPr="00E439FA" w:rsidRDefault="00CF07B0" w:rsidP="00A662D8">
      <w:pPr>
        <w:pStyle w:val="Titre2"/>
        <w:spacing w:before="120" w:line="360" w:lineRule="auto"/>
        <w:jc w:val="both"/>
        <w:rPr>
          <w:i/>
          <w:iCs/>
          <w:color w:val="auto"/>
          <w:sz w:val="24"/>
          <w:szCs w:val="24"/>
          <w:lang w:val="en-GB"/>
        </w:rPr>
      </w:pPr>
      <w:bookmarkStart w:id="7" w:name="_cbqa5s3wtmmv" w:colFirst="0" w:colLast="0"/>
      <w:bookmarkEnd w:id="7"/>
      <w:r w:rsidRPr="00E439FA">
        <w:rPr>
          <w:i/>
          <w:iCs/>
          <w:color w:val="auto"/>
          <w:sz w:val="24"/>
          <w:szCs w:val="24"/>
          <w:lang w:val="en-GB"/>
        </w:rPr>
        <w:t>Analysis of the causes of non-recycling</w:t>
      </w:r>
    </w:p>
    <w:p w14:paraId="7FC120F4" w14:textId="77777777" w:rsidR="007C27F7" w:rsidRPr="00831243" w:rsidRDefault="00CF07B0" w:rsidP="005C6258">
      <w:pPr>
        <w:spacing w:before="120" w:after="0" w:line="360" w:lineRule="auto"/>
        <w:jc w:val="both"/>
        <w:rPr>
          <w:rFonts w:ascii="Times New Roman" w:hAnsi="Times New Roman" w:cs="Times New Roman"/>
          <w:sz w:val="24"/>
          <w:szCs w:val="24"/>
          <w:lang w:val="en-GB"/>
        </w:rPr>
        <w:sectPr w:rsidR="007C27F7" w:rsidRPr="00831243" w:rsidSect="00E668F8">
          <w:headerReference w:type="even" r:id="rId58"/>
          <w:headerReference w:type="default" r:id="rId59"/>
          <w:footerReference w:type="even" r:id="rId60"/>
          <w:footerReference w:type="default" r:id="rId61"/>
          <w:headerReference w:type="first" r:id="rId62"/>
          <w:footerReference w:type="first" r:id="rId63"/>
          <w:pgSz w:w="11906" w:h="16838"/>
          <w:pgMar w:top="851" w:right="1247" w:bottom="1247" w:left="1247" w:header="284" w:footer="709" w:gutter="0"/>
          <w:pgNumType w:start="78"/>
          <w:cols w:space="720"/>
          <w:titlePg/>
        </w:sectPr>
      </w:pPr>
      <w:r w:rsidRPr="00831243">
        <w:rPr>
          <w:rFonts w:ascii="Times New Roman" w:hAnsi="Times New Roman" w:cs="Times New Roman"/>
          <w:sz w:val="24"/>
          <w:szCs w:val="24"/>
          <w:lang w:val="en-GB"/>
        </w:rPr>
        <w:t>Based on the causes identified by the companies, both through questionnaire responses and producer interviews, it appears that the low recycling rate of agricultural mulch films results from several structural factors. These factors can be grouped according to the classical categories of the Ishikawa diagram, illustrated in Figure 4 below: labour, methods, materials, machines, and management/regulation.</w:t>
      </w:r>
    </w:p>
    <w:p w14:paraId="2F1A33FE" w14:textId="4DF36E50" w:rsidR="007C27F7" w:rsidRPr="005C6258" w:rsidRDefault="00CA044F" w:rsidP="00C93BBB">
      <w:pPr>
        <w:pBdr>
          <w:top w:val="nil"/>
          <w:left w:val="nil"/>
          <w:bottom w:val="nil"/>
          <w:right w:val="nil"/>
          <w:between w:val="nil"/>
        </w:pBdr>
        <w:spacing w:before="40" w:after="0" w:line="360" w:lineRule="auto"/>
        <w:jc w:val="center"/>
        <w:rPr>
          <w:rFonts w:ascii="Times New Roman" w:hAnsi="Times New Roman" w:cs="Times New Roman"/>
          <w:b/>
          <w:bCs/>
          <w:sz w:val="24"/>
          <w:szCs w:val="24"/>
        </w:rPr>
      </w:pPr>
      <w:bookmarkStart w:id="9" w:name="_gk5lgm67gv4v" w:colFirst="0" w:colLast="0"/>
      <w:bookmarkEnd w:id="9"/>
      <w:r>
        <w:rPr>
          <w:rFonts w:ascii="Times New Roman" w:hAnsi="Times New Roman" w:cs="Times New Roman"/>
          <w:b/>
          <w:bCs/>
          <w:noProof/>
          <w:sz w:val="24"/>
          <w:szCs w:val="24"/>
        </w:rPr>
        <w:drawing>
          <wp:inline distT="0" distB="0" distL="0" distR="0" wp14:anchorId="0EDBDB4B" wp14:editId="5719D8EE">
            <wp:extent cx="9104476" cy="5613149"/>
            <wp:effectExtent l="0" t="0" r="1905" b="698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uanjli.jpg"/>
                    <pic:cNvPicPr/>
                  </pic:nvPicPr>
                  <pic:blipFill rotWithShape="1">
                    <a:blip r:embed="rId64">
                      <a:extLst>
                        <a:ext uri="{28A0092B-C50C-407E-A947-70E740481C1C}">
                          <a14:useLocalDpi xmlns:a14="http://schemas.microsoft.com/office/drawing/2010/main" val="0"/>
                        </a:ext>
                      </a:extLst>
                    </a:blip>
                    <a:srcRect t="1386" b="1604"/>
                    <a:stretch/>
                  </pic:blipFill>
                  <pic:spPr bwMode="auto">
                    <a:xfrm>
                      <a:off x="0" y="0"/>
                      <a:ext cx="9107741" cy="5615162"/>
                    </a:xfrm>
                    <a:prstGeom prst="rect">
                      <a:avLst/>
                    </a:prstGeom>
                    <a:ln>
                      <a:noFill/>
                    </a:ln>
                    <a:extLst>
                      <a:ext uri="{53640926-AAD7-44D8-BBD7-CCE9431645EC}">
                        <a14:shadowObscured xmlns:a14="http://schemas.microsoft.com/office/drawing/2010/main"/>
                      </a:ext>
                    </a:extLst>
                  </pic:spPr>
                </pic:pic>
              </a:graphicData>
            </a:graphic>
          </wp:inline>
        </w:drawing>
      </w:r>
    </w:p>
    <w:p w14:paraId="1B495AC9" w14:textId="77777777" w:rsidR="007C27F7" w:rsidRPr="005C6258" w:rsidRDefault="00CF07B0" w:rsidP="00C93BBB">
      <w:pPr>
        <w:pBdr>
          <w:top w:val="nil"/>
          <w:left w:val="nil"/>
          <w:bottom w:val="nil"/>
          <w:right w:val="nil"/>
          <w:between w:val="nil"/>
        </w:pBdr>
        <w:spacing w:before="40" w:after="0" w:line="360" w:lineRule="auto"/>
        <w:jc w:val="center"/>
        <w:rPr>
          <w:rFonts w:ascii="Times New Roman" w:hAnsi="Times New Roman" w:cs="Times New Roman"/>
          <w:sz w:val="24"/>
          <w:szCs w:val="24"/>
        </w:rPr>
      </w:pPr>
      <w:bookmarkStart w:id="10" w:name="_mofjsg45bbnb" w:colFirst="0" w:colLast="0"/>
      <w:bookmarkEnd w:id="10"/>
      <w:r w:rsidRPr="005C6258">
        <w:rPr>
          <w:rFonts w:ascii="Times New Roman" w:hAnsi="Times New Roman" w:cs="Times New Roman"/>
          <w:b/>
          <w:bCs/>
          <w:sz w:val="24"/>
          <w:szCs w:val="24"/>
        </w:rPr>
        <w:t xml:space="preserve">Figure 4 : </w:t>
      </w:r>
      <w:r w:rsidRPr="005C6258">
        <w:rPr>
          <w:rFonts w:ascii="Times New Roman" w:hAnsi="Times New Roman" w:cs="Times New Roman"/>
          <w:sz w:val="24"/>
          <w:szCs w:val="24"/>
        </w:rPr>
        <w:t>ISHIKAWA diagram</w:t>
      </w:r>
      <w:bookmarkStart w:id="11" w:name="_GoBack"/>
      <w:bookmarkEnd w:id="11"/>
    </w:p>
    <w:p w14:paraId="682C9DBE" w14:textId="77777777" w:rsidR="007C27F7" w:rsidRPr="005C6258" w:rsidRDefault="00CF07B0" w:rsidP="005C6258">
      <w:pPr>
        <w:spacing w:before="120" w:after="280" w:line="360" w:lineRule="auto"/>
        <w:jc w:val="center"/>
        <w:rPr>
          <w:rFonts w:ascii="Times New Roman" w:hAnsi="Times New Roman" w:cs="Times New Roman"/>
          <w:sz w:val="24"/>
          <w:szCs w:val="24"/>
        </w:rPr>
      </w:pPr>
      <w:r w:rsidRPr="005C6258">
        <w:rPr>
          <w:rFonts w:ascii="Times New Roman" w:hAnsi="Times New Roman" w:cs="Times New Roman"/>
          <w:noProof/>
          <w:sz w:val="24"/>
          <w:szCs w:val="24"/>
        </w:rPr>
        <w:drawing>
          <wp:inline distT="0" distB="0" distL="0" distR="0" wp14:anchorId="363F0B2C" wp14:editId="2B9C5EFE">
            <wp:extent cx="8919799" cy="4666229"/>
            <wp:effectExtent l="0" t="0" r="0" b="0"/>
            <wp:docPr id="1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65"/>
                    <a:srcRect/>
                    <a:stretch>
                      <a:fillRect/>
                    </a:stretch>
                  </pic:blipFill>
                  <pic:spPr>
                    <a:xfrm>
                      <a:off x="0" y="0"/>
                      <a:ext cx="8919799" cy="4666229"/>
                    </a:xfrm>
                    <a:prstGeom prst="rect">
                      <a:avLst/>
                    </a:prstGeom>
                    <a:ln/>
                  </pic:spPr>
                </pic:pic>
              </a:graphicData>
            </a:graphic>
          </wp:inline>
        </w:drawing>
      </w:r>
    </w:p>
    <w:p w14:paraId="12AC823B" w14:textId="19A06A51" w:rsidR="007C27F7" w:rsidRPr="00831243" w:rsidRDefault="00CF07B0" w:rsidP="005C6258">
      <w:pPr>
        <w:spacing w:before="120"/>
        <w:rPr>
          <w:rFonts w:ascii="Times New Roman" w:hAnsi="Times New Roman" w:cs="Times New Roman"/>
          <w:lang w:val="en-GB"/>
        </w:rPr>
      </w:pPr>
      <w:bookmarkStart w:id="12" w:name="_my7waps4e3jo" w:colFirst="0" w:colLast="0"/>
      <w:bookmarkEnd w:id="12"/>
      <w:r w:rsidRPr="00831243">
        <w:rPr>
          <w:rFonts w:ascii="Times New Roman" w:hAnsi="Times New Roman" w:cs="Times New Roman"/>
          <w:b/>
          <w:bCs/>
          <w:lang w:val="en-GB"/>
        </w:rPr>
        <w:t>Figure 5.</w:t>
      </w:r>
      <w:r w:rsidR="00A662D8" w:rsidRPr="00831243">
        <w:rPr>
          <w:rFonts w:ascii="Times New Roman" w:hAnsi="Times New Roman" w:cs="Times New Roman"/>
          <w:b/>
          <w:bCs/>
          <w:lang w:val="en-GB"/>
        </w:rPr>
        <w:t xml:space="preserve"> </w:t>
      </w:r>
      <w:r w:rsidRPr="00831243">
        <w:rPr>
          <w:rFonts w:ascii="Times New Roman" w:hAnsi="Times New Roman" w:cs="Times New Roman"/>
          <w:lang w:val="en-GB"/>
        </w:rPr>
        <w:t>(a) Location of the Souss-Massa region in Morocco;</w:t>
      </w:r>
      <w:r w:rsidR="00A662D8" w:rsidRPr="00831243">
        <w:rPr>
          <w:rFonts w:ascii="Times New Roman" w:hAnsi="Times New Roman" w:cs="Times New Roman"/>
          <w:lang w:val="en-GB"/>
        </w:rPr>
        <w:t xml:space="preserve"> </w:t>
      </w:r>
      <w:r w:rsidRPr="00831243">
        <w:rPr>
          <w:rFonts w:ascii="Times New Roman" w:hAnsi="Times New Roman" w:cs="Times New Roman"/>
          <w:lang w:val="en-GB"/>
        </w:rPr>
        <w:t>(b) Geographic distribution of agricultural plastic waste (APW) collection and recycling operators identified during the field survey and on-site investigations conducted in the Souss-Massa region</w:t>
      </w:r>
    </w:p>
    <w:p w14:paraId="7F0CBCBD" w14:textId="77777777" w:rsidR="007C27F7" w:rsidRPr="005C6258" w:rsidRDefault="00CF07B0" w:rsidP="005C6258">
      <w:pPr>
        <w:pBdr>
          <w:top w:val="nil"/>
          <w:left w:val="nil"/>
          <w:bottom w:val="nil"/>
          <w:right w:val="nil"/>
          <w:between w:val="nil"/>
        </w:pBdr>
        <w:spacing w:before="120" w:after="0" w:line="360" w:lineRule="auto"/>
        <w:jc w:val="center"/>
        <w:rPr>
          <w:rFonts w:ascii="Times New Roman" w:hAnsi="Times New Roman" w:cs="Times New Roman"/>
          <w:b/>
          <w:bCs/>
          <w:sz w:val="24"/>
          <w:szCs w:val="24"/>
        </w:rPr>
      </w:pPr>
      <w:r w:rsidRPr="005C6258">
        <w:rPr>
          <w:rFonts w:ascii="Times New Roman" w:hAnsi="Times New Roman" w:cs="Times New Roman"/>
          <w:b/>
          <w:bCs/>
          <w:noProof/>
          <w:sz w:val="24"/>
          <w:szCs w:val="24"/>
        </w:rPr>
        <w:drawing>
          <wp:inline distT="0" distB="0" distL="0" distR="0" wp14:anchorId="28F4FF1B" wp14:editId="4B514843">
            <wp:extent cx="9124950" cy="5473700"/>
            <wp:effectExtent l="0" t="0" r="0" b="0"/>
            <wp:docPr id="2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66"/>
                    <a:srcRect/>
                    <a:stretch>
                      <a:fillRect/>
                    </a:stretch>
                  </pic:blipFill>
                  <pic:spPr>
                    <a:xfrm>
                      <a:off x="0" y="0"/>
                      <a:ext cx="9125976" cy="5474315"/>
                    </a:xfrm>
                    <a:prstGeom prst="rect">
                      <a:avLst/>
                    </a:prstGeom>
                    <a:ln/>
                  </pic:spPr>
                </pic:pic>
              </a:graphicData>
            </a:graphic>
          </wp:inline>
        </w:drawing>
      </w:r>
    </w:p>
    <w:p w14:paraId="071716D0" w14:textId="77777777" w:rsidR="007C27F7" w:rsidRPr="00E439FA" w:rsidRDefault="00CF07B0" w:rsidP="005C6258">
      <w:pPr>
        <w:pBdr>
          <w:top w:val="nil"/>
          <w:left w:val="nil"/>
          <w:bottom w:val="nil"/>
          <w:right w:val="nil"/>
          <w:between w:val="nil"/>
        </w:pBdr>
        <w:spacing w:before="120" w:after="0" w:line="360" w:lineRule="auto"/>
        <w:jc w:val="center"/>
        <w:rPr>
          <w:rFonts w:ascii="Times New Roman" w:hAnsi="Times New Roman" w:cs="Times New Roman"/>
          <w:b/>
          <w:bCs/>
          <w:sz w:val="24"/>
          <w:szCs w:val="24"/>
          <w:lang w:val="en-GB"/>
        </w:rPr>
        <w:sectPr w:rsidR="007C27F7" w:rsidRPr="00E439FA">
          <w:headerReference w:type="default" r:id="rId67"/>
          <w:pgSz w:w="16838" w:h="11906" w:orient="landscape"/>
          <w:pgMar w:top="426" w:right="1418" w:bottom="709" w:left="851" w:header="709" w:footer="450" w:gutter="0"/>
          <w:cols w:space="720"/>
        </w:sectPr>
      </w:pPr>
      <w:r w:rsidRPr="00E439FA">
        <w:rPr>
          <w:rFonts w:ascii="Times New Roman" w:hAnsi="Times New Roman" w:cs="Times New Roman"/>
          <w:b/>
          <w:bCs/>
          <w:sz w:val="24"/>
          <w:szCs w:val="24"/>
          <w:lang w:val="en-GB"/>
        </w:rPr>
        <w:t xml:space="preserve">Figure 6: </w:t>
      </w:r>
      <w:r w:rsidRPr="00E439FA">
        <w:rPr>
          <w:rFonts w:ascii="Times New Roman" w:hAnsi="Times New Roman" w:cs="Times New Roman"/>
          <w:sz w:val="24"/>
          <w:szCs w:val="24"/>
          <w:lang w:val="en-GB"/>
        </w:rPr>
        <w:t>SWOT analysis</w:t>
      </w:r>
    </w:p>
    <w:p w14:paraId="1BD2D5EC"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 xml:space="preserve">The Ishikawa diagram, illustrated in Figure 4 helped identify the various causes that slow down or hinder the recycling process for agricultural plastic films. With regard to the “labour” category of causes, local authorities, in other words regional authorities, play an important role in Morocco, with the aim of satisfying common needs and interests, and have responsibility for household and similar waste disposal. Through awareness-raising, communication, and incentive measures, they are able to engage with citizens to reduce waste and encourage them to adopt good sustainable practices [53]. For example, Law No. 77-15, known as “Zero Mika,” in force since July 2016, banned the production, import, and sale of plastic bags [54]. This initiative demonstrated the strong mobilization of local authorities, combined with other efforts by several stakeholders (non-governmental organizations, associations, etc.), which constituted a major lever for supporting changes in practices.  A similar approach could be replicated in the agricultural sector, especially in regions which manufacture and use various agricultural plastic films. The deployment of various measures by local authorities could improve the agricultural plastic waste recovery chain. These actions could include raising awareness, training, and informing producers and users (farmers) and establishing good waste collection and sorting practices. </w:t>
      </w:r>
    </w:p>
    <w:p w14:paraId="02658698"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 xml:space="preserve">In terms of methodology, the lack of documented information refers to the lack of traceability of all essential data, in various forms, whether procedures, work instructions, or control sheets, etc. </w:t>
      </w:r>
    </w:p>
    <w:p w14:paraId="66313776" w14:textId="342AF50C" w:rsidR="007C27F7" w:rsidRPr="00831243" w:rsidRDefault="00CF07B0" w:rsidP="00E668F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In recent years, Morocco has undertaken various actions to improve the management of agricultural plastic waste (APW), mainly in the Souss-Massa region, the leading generator of this type of waste. According to Saber [55], the recycling rate has increased from 18% in 2020 to 45% in 2023. In this regard, a partnership agreement has been signed between the Ministry of Energy Transition and AgroTech Souss-Massa. More efforts are desirable in other regions that produce agricultural waste, such as Loukkos associated with the province (Larache), Gharb (Rabat-Salé-Kénitra), and Doukkala (Casablanca-Settat) [56, 57]. In comparison, data from the 2024 activity report of the CPA (Plasticulture and Agro-Environment Committee) (collection up 20% since 2020, smoothed rate at 71%, recycling at 62%) [58] show significant discrepancies. The formalization of procedures, work instructions, and data traceability remains essential for monitoring performance indicators and achieving defined objectives. For example, where mulch film deteriorates by exposure to UV, excessive exposure causes its mechanical properties to deteriorate, making it difficult to recycle after ageing [59].</w:t>
      </w:r>
    </w:p>
    <w:p w14:paraId="09299EC2"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Despite the obstacles identified at the national level, regional initiatives can - if continued - strengthen the recycling sector. This is the case with the AgroTech Souss-Massa Association, established in 2006 at the initiative of the Regional Council. Since 2013, AgroTech SM, in cooperation with the Regional Council and the Crédit Agricole du Maroc Foundation for Sustainable Development, has been engaged in structuring the agricultural plastic waste (APW) recycling sector. Several actions have been implemented, including the grouping of nine recycling companies, the creation of eleven cooperatives from the informal sector, and the establishment of a regional action plan to improve agricultural waste management.</w:t>
      </w:r>
    </w:p>
    <w:p w14:paraId="7BFFE983" w14:textId="3750308D" w:rsidR="007C27F7" w:rsidRPr="00E439FA" w:rsidRDefault="00CF07B0" w:rsidP="00A662D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 xml:space="preserve">Recently, AgroTech SM introduced an agricultural plastic recovery unit in Drarga. This facility aims to process 55,000 tonnes of agricultural plastic waste per year, representing more than 50% of the national total. Thus, the deployment of national strategies should extend to all relevant regions, following the example of the initiative launched in the Souss-Massa region [30-47]. </w:t>
      </w:r>
      <w:bookmarkStart w:id="13" w:name="_q112lubqpjus" w:colFirst="0" w:colLast="0"/>
      <w:bookmarkEnd w:id="13"/>
      <w:r w:rsidR="00A662D8" w:rsidRPr="00E439FA">
        <w:rPr>
          <w:rFonts w:ascii="Times New Roman" w:hAnsi="Times New Roman" w:cs="Times New Roman"/>
          <w:sz w:val="24"/>
          <w:szCs w:val="24"/>
          <w:lang w:val="en-GB"/>
        </w:rPr>
        <w:t xml:space="preserve"> </w:t>
      </w:r>
      <w:r w:rsidRPr="00E439FA">
        <w:rPr>
          <w:rFonts w:ascii="Times New Roman" w:hAnsi="Times New Roman" w:cs="Times New Roman"/>
          <w:sz w:val="24"/>
          <w:szCs w:val="24"/>
          <w:lang w:val="en-GB"/>
        </w:rPr>
        <w:t>Despite these structuring efforts, the management of agricultural plastics remains dominated by the informal sector, as clearly illustrated by the mapping presented in Figure 5. This mapping is based on the field survey and on-site investigations conducted as part of the present study.</w:t>
      </w:r>
    </w:p>
    <w:p w14:paraId="71265CBF"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Figure 5 focuses on the Souss-Massa region and shows the geographic distribution of agricultural plastic waste (APW) collection and recycling actors identified during the fieldwork. It highlights the predominance of informal collection depots (orange icons), mainly located near intensive agricultural areas, compared to cooperative depots (purple icons) and formal APW recycling companies (green icons).</w:t>
      </w:r>
    </w:p>
    <w:p w14:paraId="73765691" w14:textId="77777777" w:rsidR="007C27F7" w:rsidRPr="00E439FA" w:rsidRDefault="007C27F7" w:rsidP="005C6258">
      <w:pPr>
        <w:spacing w:before="120" w:after="0" w:line="360" w:lineRule="auto"/>
        <w:jc w:val="both"/>
        <w:rPr>
          <w:rFonts w:ascii="Times New Roman" w:hAnsi="Times New Roman" w:cs="Times New Roman"/>
          <w:b/>
          <w:bCs/>
          <w:sz w:val="24"/>
          <w:szCs w:val="24"/>
          <w:lang w:val="en-GB"/>
        </w:rPr>
      </w:pPr>
    </w:p>
    <w:p w14:paraId="1DE3FFB3" w14:textId="72C179F9" w:rsidR="007C27F7" w:rsidRPr="00E439FA" w:rsidRDefault="00CF07B0" w:rsidP="00A662D8">
      <w:pPr>
        <w:pStyle w:val="Titre2"/>
        <w:spacing w:before="120" w:line="360" w:lineRule="auto"/>
        <w:jc w:val="both"/>
        <w:rPr>
          <w:i/>
          <w:iCs/>
          <w:color w:val="auto"/>
          <w:sz w:val="24"/>
          <w:szCs w:val="24"/>
          <w:lang w:val="en-GB"/>
        </w:rPr>
      </w:pPr>
      <w:bookmarkStart w:id="14" w:name="_m6fmbcixqvh8" w:colFirst="0" w:colLast="0"/>
      <w:bookmarkEnd w:id="14"/>
      <w:r w:rsidRPr="00E439FA">
        <w:rPr>
          <w:i/>
          <w:iCs/>
          <w:color w:val="auto"/>
          <w:sz w:val="24"/>
          <w:szCs w:val="24"/>
          <w:lang w:val="en-GB"/>
        </w:rPr>
        <w:t>Analysis of internal and external challenges at the national level </w:t>
      </w:r>
    </w:p>
    <w:p w14:paraId="4ED535A4"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To complement the cause–effect analysis, a SWOT matrix was established to assess the current strategic situation of the LDPE mulch film sector in Morocco. This method highlights internal factors (strengths and weaknesses) as well as external factors (opportunities and threats) in order to identify relevant action levers. It thus provides better visibility of the actions to be undertaken to respond effectively to national and international market requirements while ensuring ecosystem protection.</w:t>
      </w:r>
    </w:p>
    <w:p w14:paraId="6477B695"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In continuity with the Ishikawa diagram, which revealed all the risks and threats, the SWOT analysis provided an overall view of the challenges facing the mulch film sector in relation to the country’s context and its development in this field. It is important to extend the analysis towards a qualitative risk assessment to categorize the identified risks accurately and propose appropriate control measures.</w:t>
      </w:r>
    </w:p>
    <w:p w14:paraId="5FA46272" w14:textId="0FE2479C" w:rsidR="007C27F7" w:rsidRPr="00E439FA" w:rsidRDefault="007C27F7" w:rsidP="005C6258">
      <w:pPr>
        <w:spacing w:before="120" w:after="0" w:line="360" w:lineRule="auto"/>
        <w:jc w:val="both"/>
        <w:rPr>
          <w:rFonts w:ascii="Times New Roman" w:hAnsi="Times New Roman" w:cs="Times New Roman"/>
          <w:sz w:val="24"/>
          <w:szCs w:val="24"/>
          <w:lang w:val="en-GB"/>
        </w:rPr>
      </w:pPr>
    </w:p>
    <w:p w14:paraId="76E1EEF4" w14:textId="77777777" w:rsidR="00D30904" w:rsidRPr="00E439FA" w:rsidRDefault="00D30904" w:rsidP="005C6258">
      <w:pPr>
        <w:spacing w:before="120" w:after="0" w:line="360" w:lineRule="auto"/>
        <w:jc w:val="both"/>
        <w:rPr>
          <w:rFonts w:ascii="Times New Roman" w:hAnsi="Times New Roman" w:cs="Times New Roman"/>
          <w:sz w:val="24"/>
          <w:szCs w:val="24"/>
          <w:lang w:val="en-GB"/>
        </w:rPr>
      </w:pPr>
    </w:p>
    <w:p w14:paraId="406193F8" w14:textId="77777777" w:rsidR="007C27F7" w:rsidRPr="00E439FA" w:rsidRDefault="00CF07B0" w:rsidP="005C6258">
      <w:pP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b/>
          <w:bCs/>
          <w:sz w:val="24"/>
          <w:szCs w:val="24"/>
          <w:lang w:val="en-GB"/>
        </w:rPr>
        <w:t>Table 2.</w:t>
      </w:r>
      <w:r w:rsidRPr="00E439FA">
        <w:rPr>
          <w:rFonts w:ascii="Times New Roman" w:hAnsi="Times New Roman" w:cs="Times New Roman"/>
          <w:sz w:val="24"/>
          <w:szCs w:val="24"/>
          <w:lang w:val="en-GB"/>
        </w:rPr>
        <w:t xml:space="preserve"> Strategic, Regulatory, Economic, Environmental, and Social Risks Affecting the Agricultural Plastic Film Recycling Sector</w:t>
      </w:r>
    </w:p>
    <w:tbl>
      <w:tblPr>
        <w:tblStyle w:val="a2"/>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912"/>
        <w:gridCol w:w="2624"/>
        <w:gridCol w:w="3402"/>
      </w:tblGrid>
      <w:tr w:rsidR="005C6258" w:rsidRPr="00A662D8" w14:paraId="103A95B0" w14:textId="77777777" w:rsidTr="00A662D8">
        <w:trPr>
          <w:trHeight w:val="60"/>
        </w:trPr>
        <w:tc>
          <w:tcPr>
            <w:tcW w:w="1418" w:type="dxa"/>
          </w:tcPr>
          <w:p w14:paraId="2A927447" w14:textId="77777777" w:rsidR="007C27F7" w:rsidRPr="00A662D8" w:rsidRDefault="00CF07B0" w:rsidP="005C6258">
            <w:pPr>
              <w:spacing w:before="120"/>
              <w:jc w:val="center"/>
              <w:rPr>
                <w:rFonts w:ascii="Times New Roman" w:hAnsi="Times New Roman" w:cs="Times New Roman"/>
                <w:b/>
                <w:bCs/>
              </w:rPr>
            </w:pPr>
            <w:r w:rsidRPr="00A662D8">
              <w:rPr>
                <w:rFonts w:ascii="Times New Roman" w:hAnsi="Times New Roman" w:cs="Times New Roman"/>
                <w:b/>
                <w:bCs/>
              </w:rPr>
              <w:t>Identified Risk</w:t>
            </w:r>
          </w:p>
        </w:tc>
        <w:tc>
          <w:tcPr>
            <w:tcW w:w="1912" w:type="dxa"/>
          </w:tcPr>
          <w:p w14:paraId="4F837EDD" w14:textId="77777777" w:rsidR="007C27F7" w:rsidRPr="00A662D8" w:rsidRDefault="00CF07B0" w:rsidP="005C6258">
            <w:pPr>
              <w:spacing w:before="120"/>
              <w:jc w:val="center"/>
              <w:rPr>
                <w:rFonts w:ascii="Times New Roman" w:hAnsi="Times New Roman" w:cs="Times New Roman"/>
                <w:b/>
                <w:bCs/>
              </w:rPr>
            </w:pPr>
            <w:r w:rsidRPr="00A662D8">
              <w:rPr>
                <w:rFonts w:ascii="Times New Roman" w:hAnsi="Times New Roman" w:cs="Times New Roman"/>
                <w:b/>
                <w:bCs/>
              </w:rPr>
              <w:t>Causes</w:t>
            </w:r>
          </w:p>
        </w:tc>
        <w:tc>
          <w:tcPr>
            <w:tcW w:w="2624" w:type="dxa"/>
          </w:tcPr>
          <w:p w14:paraId="02A6D189" w14:textId="77777777" w:rsidR="007C27F7" w:rsidRPr="00A662D8" w:rsidRDefault="00CF07B0" w:rsidP="005C6258">
            <w:pPr>
              <w:spacing w:before="120"/>
              <w:jc w:val="center"/>
              <w:rPr>
                <w:rFonts w:ascii="Times New Roman" w:hAnsi="Times New Roman" w:cs="Times New Roman"/>
                <w:b/>
                <w:bCs/>
              </w:rPr>
            </w:pPr>
            <w:r w:rsidRPr="00A662D8">
              <w:rPr>
                <w:rFonts w:ascii="Times New Roman" w:hAnsi="Times New Roman" w:cs="Times New Roman"/>
                <w:b/>
                <w:bCs/>
              </w:rPr>
              <w:t>Consequences</w:t>
            </w:r>
          </w:p>
        </w:tc>
        <w:tc>
          <w:tcPr>
            <w:tcW w:w="3402" w:type="dxa"/>
          </w:tcPr>
          <w:p w14:paraId="54C121CD" w14:textId="77777777" w:rsidR="007C27F7" w:rsidRPr="00A662D8" w:rsidRDefault="00CF07B0" w:rsidP="005C6258">
            <w:pPr>
              <w:spacing w:before="120"/>
              <w:jc w:val="center"/>
              <w:rPr>
                <w:rFonts w:ascii="Times New Roman" w:hAnsi="Times New Roman" w:cs="Times New Roman"/>
                <w:b/>
                <w:bCs/>
              </w:rPr>
            </w:pPr>
            <w:r w:rsidRPr="00A662D8">
              <w:rPr>
                <w:rFonts w:ascii="Times New Roman" w:hAnsi="Times New Roman" w:cs="Times New Roman"/>
                <w:b/>
                <w:bCs/>
              </w:rPr>
              <w:t>Proposed Actions</w:t>
            </w:r>
          </w:p>
        </w:tc>
      </w:tr>
      <w:tr w:rsidR="005C6258" w:rsidRPr="00C93BBB" w14:paraId="1A07DF66" w14:textId="77777777" w:rsidTr="00A662D8">
        <w:trPr>
          <w:trHeight w:val="488"/>
        </w:trPr>
        <w:tc>
          <w:tcPr>
            <w:tcW w:w="1418" w:type="dxa"/>
          </w:tcPr>
          <w:p w14:paraId="328D2DBF" w14:textId="77777777" w:rsidR="007C27F7" w:rsidRPr="00A662D8" w:rsidRDefault="00CF07B0" w:rsidP="005C6258">
            <w:pPr>
              <w:spacing w:before="120"/>
              <w:rPr>
                <w:rFonts w:ascii="Times New Roman" w:hAnsi="Times New Roman" w:cs="Times New Roman"/>
                <w:b/>
                <w:bCs/>
              </w:rPr>
            </w:pPr>
            <w:r w:rsidRPr="00A662D8">
              <w:rPr>
                <w:rFonts w:ascii="Times New Roman" w:hAnsi="Times New Roman" w:cs="Times New Roman"/>
                <w:b/>
                <w:bCs/>
              </w:rPr>
              <w:t>Regulatory Risk</w:t>
            </w:r>
          </w:p>
        </w:tc>
        <w:tc>
          <w:tcPr>
            <w:tcW w:w="1912" w:type="dxa"/>
          </w:tcPr>
          <w:p w14:paraId="6D20C3B0"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Lack of specific regulation adapted to agricultural plastics and weakness in managerial aspects</w:t>
            </w:r>
          </w:p>
        </w:tc>
        <w:tc>
          <w:tcPr>
            <w:tcW w:w="2624" w:type="dxa"/>
          </w:tcPr>
          <w:p w14:paraId="1D0025D5"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Persistence of the informal sector, lack of traceability in waste flows, difficulty in structuring the value chain</w:t>
            </w:r>
          </w:p>
        </w:tc>
        <w:tc>
          <w:tcPr>
            <w:tcW w:w="3402" w:type="dxa"/>
          </w:tcPr>
          <w:p w14:paraId="29B82FA0"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Establishment of a clear regulatory framework (agricultural EPR), integration of producers and distributors in waste management, implementation of a practical and efficient traceability system</w:t>
            </w:r>
          </w:p>
        </w:tc>
      </w:tr>
      <w:tr w:rsidR="005C6258" w:rsidRPr="00C93BBB" w14:paraId="66D3C61F" w14:textId="77777777" w:rsidTr="00A662D8">
        <w:trPr>
          <w:trHeight w:val="366"/>
        </w:trPr>
        <w:tc>
          <w:tcPr>
            <w:tcW w:w="1418" w:type="dxa"/>
          </w:tcPr>
          <w:p w14:paraId="3B121077" w14:textId="77777777" w:rsidR="007C27F7" w:rsidRPr="00A662D8" w:rsidRDefault="00CF07B0" w:rsidP="005C6258">
            <w:pPr>
              <w:spacing w:before="120"/>
              <w:rPr>
                <w:rFonts w:ascii="Times New Roman" w:hAnsi="Times New Roman" w:cs="Times New Roman"/>
                <w:b/>
                <w:bCs/>
              </w:rPr>
            </w:pPr>
            <w:r w:rsidRPr="00A662D8">
              <w:rPr>
                <w:rFonts w:ascii="Times New Roman" w:hAnsi="Times New Roman" w:cs="Times New Roman"/>
                <w:b/>
                <w:bCs/>
              </w:rPr>
              <w:t>Economic Risk</w:t>
            </w:r>
          </w:p>
        </w:tc>
        <w:tc>
          <w:tcPr>
            <w:tcW w:w="1912" w:type="dxa"/>
          </w:tcPr>
          <w:p w14:paraId="3F0E78DA"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Low profitability (resale price = 9% of initial price), high collection and recycling costs</w:t>
            </w:r>
          </w:p>
        </w:tc>
        <w:tc>
          <w:tcPr>
            <w:tcW w:w="2624" w:type="dxa"/>
          </w:tcPr>
          <w:p w14:paraId="293F11F2"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Insufficient economic incentives for companies and farmers in recycling, stagnation of the value chain</w:t>
            </w:r>
          </w:p>
        </w:tc>
        <w:tc>
          <w:tcPr>
            <w:tcW w:w="3402" w:type="dxa"/>
          </w:tcPr>
          <w:p w14:paraId="73A04714"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Financial incentives (subsidies, green taxation), support for cooperatives, promotion of local valorization</w:t>
            </w:r>
          </w:p>
        </w:tc>
      </w:tr>
      <w:tr w:rsidR="005C6258" w:rsidRPr="00C93BBB" w14:paraId="4D2434E5" w14:textId="77777777" w:rsidTr="00A662D8">
        <w:trPr>
          <w:trHeight w:val="305"/>
        </w:trPr>
        <w:tc>
          <w:tcPr>
            <w:tcW w:w="1418" w:type="dxa"/>
          </w:tcPr>
          <w:p w14:paraId="656476D7" w14:textId="77777777" w:rsidR="007C27F7" w:rsidRPr="00A662D8" w:rsidRDefault="00CF07B0" w:rsidP="005C6258">
            <w:pPr>
              <w:spacing w:before="120"/>
              <w:rPr>
                <w:rFonts w:ascii="Times New Roman" w:hAnsi="Times New Roman" w:cs="Times New Roman"/>
                <w:b/>
                <w:bCs/>
              </w:rPr>
            </w:pPr>
            <w:r w:rsidRPr="00A662D8">
              <w:rPr>
                <w:rFonts w:ascii="Times New Roman" w:hAnsi="Times New Roman" w:cs="Times New Roman"/>
                <w:b/>
                <w:bCs/>
              </w:rPr>
              <w:t>Environmental Risk</w:t>
            </w:r>
          </w:p>
        </w:tc>
        <w:tc>
          <w:tcPr>
            <w:tcW w:w="1912" w:type="dxa"/>
          </w:tcPr>
          <w:p w14:paraId="5A2FFF4E"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Abandonment or burning of used films, use of contaminated polymers</w:t>
            </w:r>
          </w:p>
        </w:tc>
        <w:tc>
          <w:tcPr>
            <w:tcW w:w="2624" w:type="dxa"/>
          </w:tcPr>
          <w:p w14:paraId="7E622E12"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Soil degradation, water contamination, greenhouse gas emissions</w:t>
            </w:r>
          </w:p>
        </w:tc>
        <w:tc>
          <w:tcPr>
            <w:tcW w:w="3402" w:type="dxa"/>
          </w:tcPr>
          <w:p w14:paraId="178E6778"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Deployment of regional recycling units, promotion of biodegradable materials</w:t>
            </w:r>
          </w:p>
        </w:tc>
      </w:tr>
      <w:tr w:rsidR="005C6258" w:rsidRPr="00C93BBB" w14:paraId="55E41C49" w14:textId="77777777" w:rsidTr="00A662D8">
        <w:trPr>
          <w:trHeight w:val="366"/>
        </w:trPr>
        <w:tc>
          <w:tcPr>
            <w:tcW w:w="1418" w:type="dxa"/>
          </w:tcPr>
          <w:p w14:paraId="010E07EB" w14:textId="77777777" w:rsidR="007C27F7" w:rsidRPr="00A662D8" w:rsidRDefault="00CF07B0" w:rsidP="005C6258">
            <w:pPr>
              <w:spacing w:before="120"/>
              <w:rPr>
                <w:rFonts w:ascii="Times New Roman" w:hAnsi="Times New Roman" w:cs="Times New Roman"/>
                <w:b/>
                <w:bCs/>
              </w:rPr>
            </w:pPr>
            <w:r w:rsidRPr="00A662D8">
              <w:rPr>
                <w:rFonts w:ascii="Times New Roman" w:hAnsi="Times New Roman" w:cs="Times New Roman"/>
                <w:b/>
                <w:bCs/>
              </w:rPr>
              <w:t>Social Risk</w:t>
            </w:r>
          </w:p>
        </w:tc>
        <w:tc>
          <w:tcPr>
            <w:tcW w:w="1912" w:type="dxa"/>
          </w:tcPr>
          <w:p w14:paraId="125263DE"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Lack of awareness and training among farmers and local authorities</w:t>
            </w:r>
          </w:p>
        </w:tc>
        <w:tc>
          <w:tcPr>
            <w:tcW w:w="2624" w:type="dxa"/>
          </w:tcPr>
          <w:p w14:paraId="7DCDF68A"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Persistence of the informal sector</w:t>
            </w:r>
          </w:p>
        </w:tc>
        <w:tc>
          <w:tcPr>
            <w:tcW w:w="3402" w:type="dxa"/>
          </w:tcPr>
          <w:p w14:paraId="61780EFE"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Inform, train, and financially motivate farmers to adopt sustainable practices. By understanding environmental impacts, they protect their land and ensure the sustainability of their agricultural activities.</w:t>
            </w:r>
          </w:p>
        </w:tc>
      </w:tr>
      <w:tr w:rsidR="005C6258" w:rsidRPr="00C93BBB" w14:paraId="186DA0C0" w14:textId="77777777" w:rsidTr="00A662D8">
        <w:trPr>
          <w:trHeight w:val="488"/>
        </w:trPr>
        <w:tc>
          <w:tcPr>
            <w:tcW w:w="1418" w:type="dxa"/>
          </w:tcPr>
          <w:p w14:paraId="2B1DF995" w14:textId="77777777" w:rsidR="007C27F7" w:rsidRPr="00A662D8" w:rsidRDefault="00CF07B0" w:rsidP="005C6258">
            <w:pPr>
              <w:spacing w:before="120"/>
              <w:rPr>
                <w:rFonts w:ascii="Times New Roman" w:hAnsi="Times New Roman" w:cs="Times New Roman"/>
                <w:b/>
                <w:bCs/>
              </w:rPr>
            </w:pPr>
            <w:r w:rsidRPr="00A662D8">
              <w:rPr>
                <w:rFonts w:ascii="Times New Roman" w:hAnsi="Times New Roman" w:cs="Times New Roman"/>
                <w:b/>
                <w:bCs/>
              </w:rPr>
              <w:t>Strategic Risk</w:t>
            </w:r>
          </w:p>
        </w:tc>
        <w:tc>
          <w:tcPr>
            <w:tcW w:w="1912" w:type="dxa"/>
          </w:tcPr>
          <w:p w14:paraId="37FC9389"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Low level of integration of eco-innovative approaches, limiting ambitions for certification and environmental labelling</w:t>
            </w:r>
          </w:p>
        </w:tc>
        <w:tc>
          <w:tcPr>
            <w:tcW w:w="2624" w:type="dxa"/>
          </w:tcPr>
          <w:p w14:paraId="6FB4B067" w14:textId="77777777" w:rsidR="007C27F7" w:rsidRPr="00E439FA" w:rsidRDefault="00CF07B0" w:rsidP="005C6258">
            <w:pPr>
              <w:spacing w:before="120"/>
              <w:jc w:val="both"/>
              <w:rPr>
                <w:rFonts w:ascii="Times New Roman" w:hAnsi="Times New Roman" w:cs="Times New Roman"/>
                <w:lang w:val="en-GB"/>
              </w:rPr>
            </w:pPr>
            <w:r w:rsidRPr="00E439FA">
              <w:rPr>
                <w:rFonts w:ascii="Times New Roman" w:hAnsi="Times New Roman" w:cs="Times New Roman"/>
                <w:lang w:val="en-GB"/>
              </w:rPr>
              <w:t>Loss of export market share, reduced stakeholder confidence, deterioration of brand image</w:t>
            </w:r>
          </w:p>
        </w:tc>
        <w:tc>
          <w:tcPr>
            <w:tcW w:w="3402" w:type="dxa"/>
          </w:tcPr>
          <w:p w14:paraId="01E0641F" w14:textId="77777777" w:rsidR="007C27F7" w:rsidRPr="00831243" w:rsidRDefault="00CF07B0" w:rsidP="005C6258">
            <w:pPr>
              <w:spacing w:before="120"/>
              <w:jc w:val="both"/>
              <w:rPr>
                <w:rFonts w:ascii="Times New Roman" w:hAnsi="Times New Roman" w:cs="Times New Roman"/>
                <w:lang w:val="en-GB"/>
              </w:rPr>
            </w:pPr>
            <w:r w:rsidRPr="00831243">
              <w:rPr>
                <w:rFonts w:ascii="Times New Roman" w:hAnsi="Times New Roman" w:cs="Times New Roman"/>
                <w:lang w:val="en-GB"/>
              </w:rPr>
              <w:t>Support for certification processes, encouragement of eco-innovation and the circular economy, leveraging university-industry partnerships as a driver for development</w:t>
            </w:r>
          </w:p>
        </w:tc>
      </w:tr>
    </w:tbl>
    <w:p w14:paraId="40BCB507" w14:textId="77777777" w:rsidR="007C27F7" w:rsidRPr="00831243" w:rsidRDefault="007C27F7" w:rsidP="005C6258">
      <w:pPr>
        <w:spacing w:before="120"/>
        <w:rPr>
          <w:rFonts w:ascii="Times New Roman" w:hAnsi="Times New Roman" w:cs="Times New Roman"/>
          <w:lang w:val="en-GB"/>
        </w:rPr>
      </w:pPr>
    </w:p>
    <w:p w14:paraId="22799EC4"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risk analysis task brought together all the causes, threats, and risks identified previously. It clearly shows that the mulch film recycling sector faces regulatory, economic, environmental, social, and strategic obstacles. Accordingly, it appears essential to establish recycling units in all the regions concerned, starting with Souss-Massa, following established procedures for this sector.</w:t>
      </w:r>
    </w:p>
    <w:p w14:paraId="2ECC9B26"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proposed actions are in line with the roadmap established by the World Bank, in collaboration with the Ministry of Energy Transition and Sustainable Development of the Kingdom of Morocco [60, 61], to reduce WEEE. This roadmap provides for incentives to be put in place until 2028. By focusing on the development of sustainable solutions, it accords with the promotion of agricultural mulch film and the development of biodegradable materials. There should be taxes on conventional plastics or, failing that, the strengthening of subsidies and the improvement of green taxation. New standards should specify the acceptable features of biodegradable films made from thermoplastic materials designed for mulching applications.</w:t>
      </w:r>
    </w:p>
    <w:p w14:paraId="7A68C164"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According to the Ministry of Energy Transition and Sustainable Development [62], Morocco's interest in Extended Producer Responsibility (EPR) shows its commitment to sustainable development and the green economy. It is just a few steps away from its strategy to structure the plastics recycling sector. This first initiative focused on PET (polyethylene terephthalate) water bottles, which constitute a pilot case on a national scale.</w:t>
      </w:r>
    </w:p>
    <w:p w14:paraId="1FD00933" w14:textId="77777777" w:rsidR="007C27F7" w:rsidRPr="00E439FA" w:rsidRDefault="00CF07B0" w:rsidP="005C6258">
      <w:pPr>
        <w:spacing w:before="120" w:after="0" w:line="360" w:lineRule="auto"/>
        <w:jc w:val="both"/>
        <w:rPr>
          <w:rFonts w:ascii="Times New Roman" w:hAnsi="Times New Roman" w:cs="Times New Roman"/>
          <w:b/>
          <w:bCs/>
          <w:sz w:val="24"/>
          <w:szCs w:val="24"/>
          <w:lang w:val="en-GB"/>
        </w:rPr>
      </w:pPr>
      <w:r w:rsidRPr="00E439FA">
        <w:rPr>
          <w:rFonts w:ascii="Times New Roman" w:hAnsi="Times New Roman" w:cs="Times New Roman"/>
          <w:b/>
          <w:bCs/>
          <w:sz w:val="24"/>
          <w:szCs w:val="24"/>
          <w:lang w:val="en-GB"/>
        </w:rPr>
        <w:t>Conclusion </w:t>
      </w:r>
    </w:p>
    <w:p w14:paraId="0AFDA45A" w14:textId="77777777" w:rsidR="007C27F7" w:rsidRPr="00E439FA"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E439FA">
        <w:rPr>
          <w:rFonts w:ascii="Times New Roman" w:hAnsi="Times New Roman" w:cs="Times New Roman"/>
          <w:sz w:val="24"/>
          <w:szCs w:val="24"/>
          <w:lang w:val="en-GB"/>
        </w:rPr>
        <w:t>The field study conducted among Moroccan manufacturers of mulch films revealed several major barriers to the recycling of agricultural LDPE. These include insufficient infrastructure, limited user awareness, lack of knowledge or enforcement of existing regulations, and the absence of incentives promoting the circular economy.</w:t>
      </w:r>
    </w:p>
    <w:p w14:paraId="3F96B45D" w14:textId="77777777" w:rsidR="007C27F7" w:rsidRPr="00DC5285" w:rsidRDefault="00CF07B0" w:rsidP="005C6258">
      <w:pPr>
        <w:pBdr>
          <w:top w:val="nil"/>
          <w:left w:val="nil"/>
          <w:bottom w:val="nil"/>
          <w:right w:val="nil"/>
          <w:between w:val="nil"/>
        </w:pBd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sz w:val="24"/>
          <w:szCs w:val="24"/>
          <w:lang w:val="en-GB"/>
        </w:rPr>
        <w:t xml:space="preserve">The SWOT analysis and Ishikawa diagram provided a systemic understanding of these obstacles, highlighting the urgent need for a national strategy structured around recyclability, ecological certification, and farmer training. Moreover, integrating risk assessment remains essential to anticipate and manage future impacts. </w:t>
      </w:r>
      <w:r w:rsidRPr="00DC5285">
        <w:rPr>
          <w:rFonts w:ascii="Times New Roman" w:hAnsi="Times New Roman" w:cs="Times New Roman"/>
          <w:sz w:val="24"/>
          <w:szCs w:val="24"/>
          <w:lang w:val="en-GB"/>
        </w:rPr>
        <w:t xml:space="preserve">A precise action plan is indispensable. </w:t>
      </w:r>
    </w:p>
    <w:p w14:paraId="139218F2" w14:textId="77777777" w:rsidR="007C27F7" w:rsidRPr="00DC5285" w:rsidRDefault="007C27F7" w:rsidP="005C6258">
      <w:pPr>
        <w:spacing w:before="120" w:after="0" w:line="360" w:lineRule="auto"/>
        <w:jc w:val="both"/>
        <w:rPr>
          <w:rFonts w:ascii="Times New Roman" w:hAnsi="Times New Roman" w:cs="Times New Roman"/>
          <w:sz w:val="24"/>
          <w:szCs w:val="24"/>
          <w:lang w:val="en-GB"/>
        </w:rPr>
      </w:pPr>
    </w:p>
    <w:p w14:paraId="66D3C87D" w14:textId="77777777" w:rsidR="007C27F7" w:rsidRPr="00DC5285" w:rsidRDefault="007C27F7" w:rsidP="005C6258">
      <w:pPr>
        <w:spacing w:before="120" w:after="0" w:line="360" w:lineRule="auto"/>
        <w:jc w:val="both"/>
        <w:rPr>
          <w:rFonts w:ascii="Times New Roman" w:hAnsi="Times New Roman" w:cs="Times New Roman"/>
          <w:b/>
          <w:bCs/>
          <w:sz w:val="12"/>
          <w:szCs w:val="12"/>
          <w:lang w:val="en-GB"/>
        </w:rPr>
      </w:pPr>
    </w:p>
    <w:p w14:paraId="65BF55AC" w14:textId="77777777" w:rsidR="007C27F7" w:rsidRPr="00831243" w:rsidRDefault="00CF07B0" w:rsidP="005C625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b/>
          <w:bCs/>
          <w:sz w:val="24"/>
          <w:szCs w:val="24"/>
          <w:lang w:val="en-GB"/>
        </w:rPr>
        <w:t xml:space="preserve">Acknowledgments: </w:t>
      </w:r>
      <w:r w:rsidRPr="00831243">
        <w:rPr>
          <w:rFonts w:ascii="Times New Roman" w:hAnsi="Times New Roman" w:cs="Times New Roman"/>
          <w:sz w:val="24"/>
          <w:szCs w:val="24"/>
          <w:lang w:val="en-GB"/>
        </w:rPr>
        <w:t>The authors would like to thank the CNRST for all their financial and technical support.</w:t>
      </w:r>
    </w:p>
    <w:p w14:paraId="7846A7C2" w14:textId="77777777" w:rsidR="007C27F7" w:rsidRPr="00831243" w:rsidRDefault="00CF07B0" w:rsidP="005C625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b/>
          <w:bCs/>
          <w:sz w:val="24"/>
          <w:szCs w:val="24"/>
          <w:lang w:val="en-GB"/>
        </w:rPr>
        <w:t xml:space="preserve">Data Availability: </w:t>
      </w:r>
      <w:r w:rsidRPr="00831243">
        <w:rPr>
          <w:rFonts w:ascii="Times New Roman" w:hAnsi="Times New Roman" w:cs="Times New Roman"/>
          <w:sz w:val="24"/>
          <w:szCs w:val="24"/>
          <w:lang w:val="en-GB"/>
        </w:rPr>
        <w:t>The data that support the findings of this study are available from the corresponding author upon reasonable request.</w:t>
      </w:r>
    </w:p>
    <w:p w14:paraId="499EBC7B" w14:textId="77777777" w:rsidR="007C27F7" w:rsidRPr="00831243" w:rsidRDefault="00CF07B0" w:rsidP="005C625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b/>
          <w:bCs/>
          <w:sz w:val="24"/>
          <w:szCs w:val="24"/>
          <w:lang w:val="en-GB"/>
        </w:rPr>
        <w:t>Code availability:</w:t>
      </w:r>
      <w:r w:rsidRPr="00831243">
        <w:rPr>
          <w:rFonts w:ascii="Times New Roman" w:hAnsi="Times New Roman" w:cs="Times New Roman"/>
          <w:sz w:val="24"/>
          <w:szCs w:val="24"/>
          <w:lang w:val="en-GB"/>
        </w:rPr>
        <w:t xml:space="preserve"> Not applicable</w:t>
      </w:r>
    </w:p>
    <w:p w14:paraId="69B19006" w14:textId="77777777" w:rsidR="007C27F7" w:rsidRPr="00831243" w:rsidRDefault="00CF07B0" w:rsidP="005C6258">
      <w:pPr>
        <w:spacing w:before="120" w:after="0" w:line="360" w:lineRule="auto"/>
        <w:jc w:val="both"/>
        <w:rPr>
          <w:rFonts w:ascii="Times New Roman" w:hAnsi="Times New Roman" w:cs="Times New Roman"/>
          <w:sz w:val="24"/>
          <w:szCs w:val="24"/>
          <w:lang w:val="en-GB"/>
        </w:rPr>
      </w:pPr>
      <w:r w:rsidRPr="00831243">
        <w:rPr>
          <w:rFonts w:ascii="Times New Roman" w:hAnsi="Times New Roman" w:cs="Times New Roman"/>
          <w:b/>
          <w:bCs/>
          <w:sz w:val="24"/>
          <w:szCs w:val="24"/>
          <w:lang w:val="en-GB"/>
        </w:rPr>
        <w:t>Conflict of interest:</w:t>
      </w:r>
      <w:r w:rsidRPr="00831243">
        <w:rPr>
          <w:rFonts w:ascii="Times New Roman" w:hAnsi="Times New Roman" w:cs="Times New Roman"/>
          <w:sz w:val="24"/>
          <w:szCs w:val="24"/>
          <w:lang w:val="en-GB"/>
        </w:rPr>
        <w:t xml:space="preserve"> All authors declare no conflicts of interest </w:t>
      </w:r>
    </w:p>
    <w:p w14:paraId="5BEF321C" w14:textId="77777777" w:rsidR="007C27F7" w:rsidRPr="00831243" w:rsidRDefault="007C27F7">
      <w:pPr>
        <w:spacing w:after="0" w:line="360" w:lineRule="auto"/>
        <w:jc w:val="both"/>
        <w:rPr>
          <w:rFonts w:ascii="Times New Roman" w:hAnsi="Times New Roman" w:cs="Times New Roman"/>
          <w:sz w:val="24"/>
          <w:szCs w:val="24"/>
          <w:lang w:val="en-GB"/>
        </w:rPr>
      </w:pPr>
    </w:p>
    <w:p w14:paraId="026246A6" w14:textId="77777777" w:rsidR="007C27F7" w:rsidRPr="00831243" w:rsidRDefault="00CF07B0">
      <w:pPr>
        <w:spacing w:after="0" w:line="360" w:lineRule="auto"/>
        <w:jc w:val="both"/>
        <w:rPr>
          <w:rFonts w:ascii="Times New Roman" w:hAnsi="Times New Roman" w:cs="Times New Roman"/>
          <w:b/>
          <w:bCs/>
          <w:sz w:val="24"/>
          <w:szCs w:val="24"/>
          <w:highlight w:val="yellow"/>
          <w:lang w:val="en-GB"/>
        </w:rPr>
      </w:pPr>
      <w:r w:rsidRPr="00831243">
        <w:rPr>
          <w:rFonts w:ascii="Times New Roman" w:hAnsi="Times New Roman" w:cs="Times New Roman"/>
          <w:lang w:val="en-GB"/>
        </w:rPr>
        <w:br w:type="page"/>
      </w:r>
    </w:p>
    <w:p w14:paraId="0F3D060E" w14:textId="77777777" w:rsidR="007C27F7" w:rsidRPr="003B18E7" w:rsidRDefault="00CF07B0">
      <w:pPr>
        <w:spacing w:after="0" w:line="360" w:lineRule="auto"/>
        <w:ind w:left="426" w:hanging="426"/>
        <w:jc w:val="both"/>
        <w:rPr>
          <w:rFonts w:ascii="Times New Roman" w:hAnsi="Times New Roman" w:cs="Times New Roman"/>
          <w:b/>
          <w:bCs/>
          <w:sz w:val="24"/>
          <w:szCs w:val="24"/>
        </w:rPr>
      </w:pPr>
      <w:r w:rsidRPr="003B18E7">
        <w:rPr>
          <w:rFonts w:ascii="Times New Roman" w:hAnsi="Times New Roman" w:cs="Times New Roman"/>
          <w:b/>
          <w:bCs/>
          <w:sz w:val="24"/>
          <w:szCs w:val="24"/>
        </w:rPr>
        <w:t xml:space="preserve">References </w:t>
      </w:r>
    </w:p>
    <w:p w14:paraId="331DFFF6"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E439FA">
        <w:rPr>
          <w:rFonts w:ascii="Times New Roman" w:hAnsi="Times New Roman" w:cs="Times New Roman"/>
          <w:color w:val="000000"/>
          <w:sz w:val="24"/>
          <w:szCs w:val="24"/>
          <w:lang w:val="en-GB"/>
        </w:rPr>
        <w:t>W</w:t>
      </w:r>
      <w:r w:rsidRPr="00E439FA">
        <w:rPr>
          <w:rFonts w:ascii="Times New Roman" w:hAnsi="Times New Roman" w:cs="Times New Roman"/>
          <w:color w:val="222222"/>
          <w:sz w:val="24"/>
          <w:szCs w:val="24"/>
          <w:lang w:val="en-GB"/>
        </w:rPr>
        <w:t>arid, W. A., 1994, Vegetable species known to the ancient Egyptians. </w:t>
      </w:r>
      <w:r w:rsidRPr="00E439FA">
        <w:rPr>
          <w:rFonts w:ascii="Times New Roman" w:hAnsi="Times New Roman" w:cs="Times New Roman"/>
          <w:i/>
          <w:iCs/>
          <w:color w:val="222222"/>
          <w:sz w:val="24"/>
          <w:szCs w:val="24"/>
          <w:lang w:val="en-GB"/>
        </w:rPr>
        <w:t xml:space="preserve">Horticulture in Human life, Culture and Environment </w:t>
      </w:r>
      <w:r w:rsidRPr="00E439FA">
        <w:rPr>
          <w:rFonts w:ascii="Times New Roman" w:hAnsi="Times New Roman" w:cs="Times New Roman"/>
          <w:b/>
          <w:bCs/>
          <w:color w:val="222222"/>
          <w:sz w:val="24"/>
          <w:szCs w:val="24"/>
          <w:lang w:val="en-GB"/>
        </w:rPr>
        <w:t>391</w:t>
      </w:r>
      <w:r w:rsidRPr="00E439FA">
        <w:rPr>
          <w:rFonts w:ascii="Times New Roman" w:hAnsi="Times New Roman" w:cs="Times New Roman"/>
          <w:color w:val="222222"/>
          <w:sz w:val="24"/>
          <w:szCs w:val="24"/>
          <w:lang w:val="en-GB"/>
        </w:rPr>
        <w:t xml:space="preserve">, 283-290. </w:t>
      </w:r>
      <w:hyperlink r:id="rId68">
        <w:r w:rsidRPr="00E439FA">
          <w:rPr>
            <w:rFonts w:ascii="Times New Roman" w:hAnsi="Times New Roman" w:cs="Times New Roman"/>
            <w:color w:val="0563C1"/>
            <w:sz w:val="24"/>
            <w:szCs w:val="24"/>
            <w:u w:val="single"/>
            <w:lang w:val="en-GB"/>
          </w:rPr>
          <w:t>https://doi.org/10.17660/ActaHortic.1995.391.29</w:t>
        </w:r>
      </w:hyperlink>
      <w:r w:rsidRPr="00E439FA">
        <w:rPr>
          <w:rFonts w:ascii="Times New Roman" w:hAnsi="Times New Roman" w:cs="Times New Roman"/>
          <w:color w:val="222222"/>
          <w:sz w:val="24"/>
          <w:szCs w:val="24"/>
          <w:lang w:val="en-GB"/>
        </w:rPr>
        <w:t xml:space="preserve"> </w:t>
      </w:r>
    </w:p>
    <w:p w14:paraId="20F145AE"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831243">
        <w:rPr>
          <w:rFonts w:ascii="Times New Roman" w:hAnsi="Times New Roman" w:cs="Times New Roman"/>
          <w:color w:val="000000"/>
          <w:sz w:val="24"/>
          <w:szCs w:val="24"/>
          <w:lang w:val="en-GB"/>
        </w:rPr>
        <w:t xml:space="preserve">Marzano, A., 2022, </w:t>
      </w:r>
      <w:r w:rsidRPr="00831243">
        <w:rPr>
          <w:rFonts w:ascii="Times New Roman" w:hAnsi="Times New Roman" w:cs="Times New Roman"/>
          <w:i/>
          <w:iCs/>
          <w:color w:val="000000"/>
          <w:sz w:val="24"/>
          <w:szCs w:val="24"/>
          <w:lang w:val="en-GB"/>
        </w:rPr>
        <w:t>Plants, Politics and Empire in Ancient Rome</w:t>
      </w:r>
      <w:r w:rsidRPr="00831243">
        <w:rPr>
          <w:rFonts w:ascii="Times New Roman" w:hAnsi="Times New Roman" w:cs="Times New Roman"/>
          <w:color w:val="000000"/>
          <w:sz w:val="24"/>
          <w:szCs w:val="24"/>
          <w:lang w:val="en-GB"/>
        </w:rPr>
        <w:t xml:space="preserve"> (Cambridge: Cambridge University Press). </w:t>
      </w:r>
      <w:r w:rsidRPr="003B18E7">
        <w:rPr>
          <w:rFonts w:ascii="Times New Roman" w:hAnsi="Times New Roman" w:cs="Times New Roman"/>
          <w:i/>
          <w:iCs/>
          <w:color w:val="000000"/>
          <w:sz w:val="24"/>
          <w:szCs w:val="24"/>
        </w:rPr>
        <w:t>Theoretical Roman Archaeology Journal</w:t>
      </w:r>
      <w:r w:rsidRPr="003B18E7">
        <w:rPr>
          <w:rFonts w:ascii="Times New Roman" w:hAnsi="Times New Roman" w:cs="Times New Roman"/>
          <w:color w:val="000000"/>
          <w:sz w:val="24"/>
          <w:szCs w:val="24"/>
        </w:rPr>
        <w:t> </w:t>
      </w:r>
      <w:r w:rsidRPr="003B18E7">
        <w:rPr>
          <w:rFonts w:ascii="Times New Roman" w:hAnsi="Times New Roman" w:cs="Times New Roman"/>
          <w:b/>
          <w:bCs/>
          <w:color w:val="000000"/>
          <w:sz w:val="24"/>
          <w:szCs w:val="24"/>
        </w:rPr>
        <w:t>7</w:t>
      </w:r>
      <w:r w:rsidRPr="003B18E7">
        <w:rPr>
          <w:rFonts w:ascii="Times New Roman" w:hAnsi="Times New Roman" w:cs="Times New Roman"/>
          <w:color w:val="000000"/>
          <w:sz w:val="24"/>
          <w:szCs w:val="24"/>
        </w:rPr>
        <w:t>(1): 1–4. https://doi.org/10.16995/traj.17906.</w:t>
      </w:r>
    </w:p>
    <w:p w14:paraId="630AD85C"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222222"/>
          <w:sz w:val="24"/>
          <w:szCs w:val="24"/>
        </w:rPr>
      </w:pPr>
      <w:r w:rsidRPr="00E439FA">
        <w:rPr>
          <w:rFonts w:ascii="Times New Roman" w:hAnsi="Times New Roman" w:cs="Times New Roman"/>
          <w:color w:val="222222"/>
          <w:sz w:val="24"/>
          <w:szCs w:val="24"/>
          <w:lang w:val="en-GB"/>
        </w:rPr>
        <w:t>Åsen, P. A., 2021, Medieval monastery gardens in Iceland and Norway. </w:t>
      </w:r>
      <w:r w:rsidRPr="003B18E7">
        <w:rPr>
          <w:rFonts w:ascii="Times New Roman" w:hAnsi="Times New Roman" w:cs="Times New Roman"/>
          <w:i/>
          <w:iCs/>
          <w:color w:val="222222"/>
          <w:sz w:val="24"/>
          <w:szCs w:val="24"/>
        </w:rPr>
        <w:t>Religions</w:t>
      </w:r>
      <w:r w:rsidRPr="003B18E7">
        <w:rPr>
          <w:rFonts w:ascii="Times New Roman" w:hAnsi="Times New Roman" w:cs="Times New Roman"/>
          <w:b/>
          <w:bCs/>
          <w:color w:val="222222"/>
          <w:sz w:val="24"/>
          <w:szCs w:val="24"/>
        </w:rPr>
        <w:t> 12</w:t>
      </w:r>
      <w:r w:rsidRPr="003B18E7">
        <w:rPr>
          <w:rFonts w:ascii="Times New Roman" w:hAnsi="Times New Roman" w:cs="Times New Roman"/>
          <w:color w:val="222222"/>
          <w:sz w:val="24"/>
          <w:szCs w:val="24"/>
        </w:rPr>
        <w:t xml:space="preserve">(5), 317. </w:t>
      </w:r>
      <w:hyperlink r:id="rId69">
        <w:r w:rsidRPr="003B18E7">
          <w:rPr>
            <w:rFonts w:ascii="Times New Roman" w:hAnsi="Times New Roman" w:cs="Times New Roman"/>
            <w:color w:val="0563C1"/>
            <w:sz w:val="24"/>
            <w:szCs w:val="24"/>
            <w:u w:val="single"/>
          </w:rPr>
          <w:t>https://doi.org/10.3390/rel12050317</w:t>
        </w:r>
      </w:hyperlink>
      <w:r w:rsidRPr="003B18E7">
        <w:rPr>
          <w:rFonts w:ascii="Times New Roman" w:hAnsi="Times New Roman" w:cs="Times New Roman"/>
          <w:color w:val="222222"/>
          <w:sz w:val="24"/>
          <w:szCs w:val="24"/>
        </w:rPr>
        <w:t xml:space="preserve"> </w:t>
      </w:r>
    </w:p>
    <w:p w14:paraId="321B2B72"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Bibliothèque nationale de France, 2023, </w:t>
      </w:r>
      <w:r w:rsidRPr="003B18E7">
        <w:rPr>
          <w:rFonts w:ascii="Times New Roman" w:hAnsi="Times New Roman" w:cs="Times New Roman"/>
          <w:i/>
          <w:iCs/>
          <w:color w:val="000000"/>
          <w:sz w:val="24"/>
          <w:szCs w:val="24"/>
        </w:rPr>
        <w:t>Le maraîchage : une pratique aux portes des villes. Bibliographie sélective</w:t>
      </w:r>
      <w:r w:rsidRPr="003B18E7">
        <w:rPr>
          <w:rFonts w:ascii="Times New Roman" w:hAnsi="Times New Roman" w:cs="Times New Roman"/>
          <w:color w:val="000000"/>
          <w:sz w:val="24"/>
          <w:szCs w:val="24"/>
        </w:rPr>
        <w:t xml:space="preserve">. Paris : Bibliothèque nationale de France. </w:t>
      </w:r>
      <w:hyperlink r:id="rId70">
        <w:r w:rsidRPr="003B18E7">
          <w:rPr>
            <w:rFonts w:ascii="Times New Roman" w:hAnsi="Times New Roman" w:cs="Times New Roman"/>
            <w:color w:val="0563C1"/>
            <w:sz w:val="24"/>
            <w:szCs w:val="24"/>
            <w:u w:val="single"/>
          </w:rPr>
          <w:t>https://www.bnf.fr/sites/default/files/2023-05/Bibliographie%20_%20Mara%C3%AEchage%20_%20Avril%202023.pdf</w:t>
        </w:r>
      </w:hyperlink>
    </w:p>
    <w:p w14:paraId="575E8F14"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831243">
        <w:rPr>
          <w:rFonts w:ascii="Times New Roman" w:hAnsi="Times New Roman" w:cs="Times New Roman"/>
          <w:color w:val="000000"/>
          <w:sz w:val="24"/>
          <w:szCs w:val="24"/>
          <w:lang w:val="en-GB"/>
        </w:rPr>
        <w:t>Overton, M., 1996, The Agricultural Revolution Reconsidered. In: Agricultural Revolution in England: The Transformation of the Agrarian Economy 1500–1850</w:t>
      </w:r>
      <w:r w:rsidRPr="00831243">
        <w:rPr>
          <w:rFonts w:ascii="Times New Roman" w:hAnsi="Times New Roman" w:cs="Times New Roman"/>
          <w:sz w:val="24"/>
          <w:szCs w:val="24"/>
          <w:lang w:val="en-GB"/>
        </w:rPr>
        <w:t xml:space="preserve">. </w:t>
      </w:r>
      <w:r w:rsidRPr="00A662D8">
        <w:rPr>
          <w:rFonts w:ascii="Times New Roman" w:hAnsi="Times New Roman" w:cs="Times New Roman"/>
          <w:sz w:val="24"/>
          <w:szCs w:val="24"/>
        </w:rPr>
        <w:t>(Cambridge: Cambridge University Press),</w:t>
      </w:r>
      <w:r w:rsidRPr="003B18E7">
        <w:rPr>
          <w:rFonts w:ascii="Times New Roman" w:hAnsi="Times New Roman" w:cs="Times New Roman"/>
          <w:color w:val="000000"/>
          <w:sz w:val="24"/>
          <w:szCs w:val="24"/>
        </w:rPr>
        <w:t xml:space="preserve"> pp. 193-207. </w:t>
      </w:r>
      <w:hyperlink r:id="rId71">
        <w:r w:rsidRPr="003B18E7">
          <w:rPr>
            <w:rFonts w:ascii="Times New Roman" w:hAnsi="Times New Roman" w:cs="Times New Roman"/>
            <w:color w:val="0563C1"/>
            <w:sz w:val="24"/>
            <w:szCs w:val="24"/>
            <w:u w:val="single"/>
          </w:rPr>
          <w:t>https://doi.org/10.1017/CBO9780511607967</w:t>
        </w:r>
      </w:hyperlink>
    </w:p>
    <w:p w14:paraId="61A3C3DC" w14:textId="654AC4B4"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Knittel, F., 2024, Chapitre 4. </w:t>
      </w:r>
      <w:r w:rsidRPr="003B18E7">
        <w:rPr>
          <w:rFonts w:ascii="Times New Roman" w:hAnsi="Times New Roman" w:cs="Times New Roman"/>
          <w:i/>
          <w:iCs/>
          <w:color w:val="000000"/>
          <w:sz w:val="24"/>
          <w:szCs w:val="24"/>
        </w:rPr>
        <w:t>Mécanisation, chimie agricole et enjeux environnementaux d’une agriculture productiviste (1815–1914</w:t>
      </w:r>
      <w:r w:rsidRPr="00A662D8">
        <w:rPr>
          <w:rFonts w:ascii="Times New Roman" w:hAnsi="Times New Roman" w:cs="Times New Roman"/>
          <w:i/>
          <w:iCs/>
          <w:sz w:val="24"/>
          <w:szCs w:val="24"/>
        </w:rPr>
        <w:t>).</w:t>
      </w:r>
      <w:r w:rsidRPr="00A662D8">
        <w:rPr>
          <w:rFonts w:ascii="Times New Roman" w:hAnsi="Times New Roman" w:cs="Times New Roman"/>
          <w:sz w:val="24"/>
          <w:szCs w:val="24"/>
        </w:rPr>
        <w:t xml:space="preserve"> In: </w:t>
      </w:r>
      <w:r w:rsidRPr="003B18E7">
        <w:rPr>
          <w:rFonts w:ascii="Times New Roman" w:hAnsi="Times New Roman" w:cs="Times New Roman"/>
          <w:color w:val="000000"/>
          <w:sz w:val="24"/>
          <w:szCs w:val="24"/>
        </w:rPr>
        <w:t xml:space="preserve">F. Knittel (Ed.), </w:t>
      </w:r>
      <w:r w:rsidRPr="003B18E7">
        <w:rPr>
          <w:rFonts w:ascii="Times New Roman" w:hAnsi="Times New Roman" w:cs="Times New Roman"/>
          <w:i/>
          <w:iCs/>
          <w:color w:val="000000"/>
          <w:sz w:val="24"/>
          <w:szCs w:val="24"/>
        </w:rPr>
        <w:t>Vivre à la campagne en France, de 1815 aux années 1970</w:t>
      </w:r>
      <w:r w:rsidRPr="003B18E7">
        <w:rPr>
          <w:rFonts w:ascii="Times New Roman" w:hAnsi="Times New Roman" w:cs="Times New Roman"/>
          <w:color w:val="000000"/>
          <w:sz w:val="24"/>
          <w:szCs w:val="24"/>
        </w:rPr>
        <w:t xml:space="preserve"> Capes Agrégation Histoire-Géographie, collection Horizon, (Paris: Armand Colin),</w:t>
      </w:r>
      <w:r w:rsidR="00A662D8">
        <w:rPr>
          <w:rFonts w:ascii="Times New Roman" w:hAnsi="Times New Roman" w:cs="Times New Roman"/>
          <w:color w:val="000000"/>
          <w:sz w:val="24"/>
          <w:szCs w:val="24"/>
        </w:rPr>
        <w:t xml:space="preserve"> </w:t>
      </w:r>
      <w:r w:rsidRPr="003B18E7">
        <w:rPr>
          <w:rFonts w:ascii="Times New Roman" w:hAnsi="Times New Roman" w:cs="Times New Roman"/>
          <w:color w:val="000000"/>
          <w:sz w:val="24"/>
          <w:szCs w:val="24"/>
        </w:rPr>
        <w:t>pp. 90–19. </w:t>
      </w:r>
      <w:hyperlink r:id="rId72">
        <w:r w:rsidRPr="003B18E7">
          <w:rPr>
            <w:rFonts w:ascii="Times New Roman" w:hAnsi="Times New Roman" w:cs="Times New Roman"/>
            <w:color w:val="0563C1"/>
            <w:sz w:val="24"/>
            <w:szCs w:val="24"/>
            <w:u w:val="single"/>
          </w:rPr>
          <w:t>https://doi.org/10.3917/arco.knitt.2024.01.0090</w:t>
        </w:r>
      </w:hyperlink>
    </w:p>
    <w:p w14:paraId="629DC7B4" w14:textId="77777777" w:rsidR="007C27F7" w:rsidRPr="00831243"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color w:val="222222"/>
          <w:sz w:val="24"/>
          <w:szCs w:val="24"/>
          <w:lang w:val="en-GB"/>
        </w:rPr>
        <w:t>Danso, S. K. A., &amp; Eskew, D. L., 1984, Enhancing biological nitrogen fixation. </w:t>
      </w:r>
      <w:r w:rsidRPr="00831243">
        <w:rPr>
          <w:rFonts w:ascii="Times New Roman" w:hAnsi="Times New Roman" w:cs="Times New Roman"/>
          <w:i/>
          <w:iCs/>
          <w:sz w:val="24"/>
          <w:szCs w:val="24"/>
          <w:lang w:val="en-GB"/>
        </w:rPr>
        <w:t>IAEA</w:t>
      </w:r>
      <w:r w:rsidRPr="00831243">
        <w:rPr>
          <w:rFonts w:ascii="Times New Roman" w:hAnsi="Times New Roman" w:cs="Times New Roman"/>
          <w:i/>
          <w:iCs/>
          <w:color w:val="222222"/>
          <w:sz w:val="24"/>
          <w:szCs w:val="24"/>
          <w:lang w:val="en-GB"/>
        </w:rPr>
        <w:t xml:space="preserve"> Bulletin</w:t>
      </w:r>
      <w:r w:rsidRPr="00831243">
        <w:rPr>
          <w:rFonts w:ascii="Times New Roman" w:hAnsi="Times New Roman" w:cs="Times New Roman"/>
          <w:color w:val="222222"/>
          <w:sz w:val="24"/>
          <w:szCs w:val="24"/>
          <w:lang w:val="en-GB"/>
        </w:rPr>
        <w:t xml:space="preserve"> </w:t>
      </w:r>
      <w:r w:rsidRPr="00831243">
        <w:rPr>
          <w:rFonts w:ascii="Times New Roman" w:hAnsi="Times New Roman" w:cs="Times New Roman"/>
          <w:b/>
          <w:bCs/>
          <w:color w:val="222222"/>
          <w:sz w:val="24"/>
          <w:szCs w:val="24"/>
          <w:lang w:val="en-GB"/>
        </w:rPr>
        <w:t>26</w:t>
      </w:r>
      <w:r w:rsidRPr="00831243">
        <w:rPr>
          <w:rFonts w:ascii="Times New Roman" w:hAnsi="Times New Roman" w:cs="Times New Roman"/>
          <w:color w:val="222222"/>
          <w:sz w:val="24"/>
          <w:szCs w:val="24"/>
          <w:lang w:val="en-GB"/>
        </w:rPr>
        <w:t xml:space="preserve">(2), 29-34. Available at: </w:t>
      </w:r>
      <w:hyperlink r:id="rId73">
        <w:r w:rsidRPr="00831243">
          <w:rPr>
            <w:rFonts w:ascii="Times New Roman" w:hAnsi="Times New Roman" w:cs="Times New Roman"/>
            <w:color w:val="0563C1"/>
            <w:sz w:val="24"/>
            <w:szCs w:val="24"/>
            <w:u w:val="single"/>
            <w:lang w:val="en-GB"/>
          </w:rPr>
          <w:t>https://www.iaea.org/sites/default/files/26206882933.pdf</w:t>
        </w:r>
      </w:hyperlink>
      <w:r w:rsidRPr="00831243">
        <w:rPr>
          <w:rFonts w:ascii="Times New Roman" w:hAnsi="Times New Roman" w:cs="Times New Roman"/>
          <w:color w:val="222222"/>
          <w:sz w:val="24"/>
          <w:szCs w:val="24"/>
          <w:lang w:val="en-GB"/>
        </w:rPr>
        <w:t xml:space="preserve"> </w:t>
      </w:r>
    </w:p>
    <w:p w14:paraId="5A033D19"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Soula, J. J., 2012, Gouvernance mondiale de l’alimentation et de l’agriculture : état des lieux et perspectives. </w:t>
      </w:r>
      <w:r w:rsidRPr="003B18E7">
        <w:rPr>
          <w:rFonts w:ascii="Times New Roman" w:hAnsi="Times New Roman" w:cs="Times New Roman"/>
          <w:i/>
          <w:iCs/>
          <w:color w:val="000000"/>
          <w:sz w:val="24"/>
          <w:szCs w:val="24"/>
        </w:rPr>
        <w:t>Bulletin de l’Académie Vétérinaire de France</w:t>
      </w:r>
      <w:r w:rsidRPr="003B18E7">
        <w:rPr>
          <w:rFonts w:ascii="Times New Roman" w:hAnsi="Times New Roman" w:cs="Times New Roman"/>
          <w:color w:val="000000"/>
          <w:sz w:val="24"/>
          <w:szCs w:val="24"/>
        </w:rPr>
        <w:t xml:space="preserve"> </w:t>
      </w:r>
      <w:r w:rsidRPr="003B18E7">
        <w:rPr>
          <w:rFonts w:ascii="Times New Roman" w:hAnsi="Times New Roman" w:cs="Times New Roman"/>
          <w:b/>
          <w:bCs/>
          <w:color w:val="000000"/>
          <w:sz w:val="24"/>
          <w:szCs w:val="24"/>
        </w:rPr>
        <w:t>165</w:t>
      </w:r>
      <w:r w:rsidRPr="003B18E7">
        <w:rPr>
          <w:rFonts w:ascii="Times New Roman" w:hAnsi="Times New Roman" w:cs="Times New Roman"/>
          <w:color w:val="000000"/>
          <w:sz w:val="24"/>
          <w:szCs w:val="24"/>
        </w:rPr>
        <w:t xml:space="preserve">(4), 365–368. </w:t>
      </w:r>
      <w:r w:rsidRPr="003B18E7">
        <w:rPr>
          <w:rFonts w:ascii="Times New Roman" w:hAnsi="Times New Roman" w:cs="Times New Roman"/>
          <w:color w:val="0563C1"/>
          <w:sz w:val="24"/>
          <w:szCs w:val="24"/>
          <w:u w:val="single"/>
        </w:rPr>
        <w:t>https://doi.org/10.4267/2042/48820</w:t>
      </w:r>
      <w:r w:rsidRPr="003B18E7">
        <w:rPr>
          <w:rFonts w:ascii="Times New Roman" w:hAnsi="Times New Roman" w:cs="Times New Roman"/>
          <w:color w:val="000000"/>
          <w:sz w:val="24"/>
          <w:szCs w:val="24"/>
        </w:rPr>
        <w:t xml:space="preserve"> </w:t>
      </w:r>
    </w:p>
    <w:p w14:paraId="63D0D6A3" w14:textId="77777777" w:rsidR="00A662D8"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color w:val="000000"/>
          <w:sz w:val="24"/>
          <w:szCs w:val="24"/>
          <w:lang w:val="en-GB"/>
        </w:rPr>
        <w:t>U.S. Department of Commerce, 2025, Agricultural</w:t>
      </w:r>
      <w:r w:rsidRPr="00831243">
        <w:rPr>
          <w:rFonts w:ascii="Times New Roman" w:hAnsi="Times New Roman" w:cs="Times New Roman"/>
          <w:i/>
          <w:iCs/>
          <w:color w:val="000000"/>
          <w:sz w:val="24"/>
          <w:szCs w:val="24"/>
          <w:lang w:val="en-GB"/>
        </w:rPr>
        <w:t xml:space="preserve"> sector</w:t>
      </w:r>
      <w:r w:rsidRPr="00831243">
        <w:rPr>
          <w:rFonts w:ascii="Times New Roman" w:hAnsi="Times New Roman" w:cs="Times New Roman"/>
          <w:i/>
          <w:iCs/>
          <w:sz w:val="24"/>
          <w:szCs w:val="24"/>
          <w:lang w:val="en-GB"/>
        </w:rPr>
        <w:t>.</w:t>
      </w:r>
      <w:r w:rsidRPr="00831243">
        <w:rPr>
          <w:rFonts w:ascii="Times New Roman" w:hAnsi="Times New Roman" w:cs="Times New Roman"/>
          <w:sz w:val="24"/>
          <w:szCs w:val="24"/>
          <w:lang w:val="en-GB"/>
        </w:rPr>
        <w:t xml:space="preserve"> In: </w:t>
      </w:r>
      <w:r w:rsidRPr="00831243">
        <w:rPr>
          <w:rFonts w:ascii="Times New Roman" w:hAnsi="Times New Roman" w:cs="Times New Roman"/>
          <w:i/>
          <w:iCs/>
          <w:color w:val="000000"/>
          <w:sz w:val="24"/>
          <w:szCs w:val="24"/>
          <w:lang w:val="en-GB"/>
        </w:rPr>
        <w:t>Country commercial guide: Morocco.</w:t>
      </w:r>
      <w:r w:rsidRPr="00831243">
        <w:rPr>
          <w:rFonts w:ascii="Times New Roman" w:hAnsi="Times New Roman" w:cs="Times New Roman"/>
          <w:color w:val="000000"/>
          <w:sz w:val="24"/>
          <w:szCs w:val="24"/>
          <w:lang w:val="en-GB"/>
        </w:rPr>
        <w:t xml:space="preserve"> </w:t>
      </w:r>
      <w:r w:rsidRPr="00E439FA">
        <w:rPr>
          <w:rFonts w:ascii="Times New Roman" w:hAnsi="Times New Roman" w:cs="Times New Roman"/>
          <w:color w:val="000000"/>
          <w:sz w:val="24"/>
          <w:szCs w:val="24"/>
          <w:lang w:val="en-GB"/>
        </w:rPr>
        <w:t xml:space="preserve">U.S. International Trade Administration. Available at :  </w:t>
      </w:r>
      <w:hyperlink r:id="rId74">
        <w:r w:rsidRPr="00E439FA">
          <w:rPr>
            <w:rFonts w:ascii="Times New Roman" w:hAnsi="Times New Roman" w:cs="Times New Roman"/>
            <w:color w:val="0563C1"/>
            <w:sz w:val="24"/>
            <w:szCs w:val="24"/>
            <w:u w:val="single"/>
            <w:lang w:val="en-GB"/>
          </w:rPr>
          <w:t>https://www.trade.gov/country-commercial-guides/morocco-agricultural-sector</w:t>
        </w:r>
      </w:hyperlink>
    </w:p>
    <w:p w14:paraId="7DF04326" w14:textId="6E3E36FF" w:rsidR="007C27F7" w:rsidRPr="00A662D8"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831243">
        <w:rPr>
          <w:rFonts w:ascii="Times New Roman" w:hAnsi="Times New Roman" w:cs="Times New Roman"/>
          <w:color w:val="000000"/>
          <w:sz w:val="24"/>
          <w:szCs w:val="24"/>
          <w:lang w:val="en-GB"/>
        </w:rPr>
        <w:t xml:space="preserve">Ait Hou, M., 2013, Export supply chain organization and food safety and quality standards: A case study of the Moroccan fruit and vegetable sector. </w:t>
      </w:r>
      <w:r w:rsidRPr="00A662D8">
        <w:rPr>
          <w:rFonts w:ascii="Times New Roman" w:hAnsi="Times New Roman" w:cs="Times New Roman"/>
          <w:color w:val="000000"/>
          <w:sz w:val="24"/>
          <w:szCs w:val="24"/>
        </w:rPr>
        <w:t xml:space="preserve">Doctoral dissertation, Alma Mater Studiorum – Università di Bologna Bologna, Italy. Available at:  </w:t>
      </w:r>
      <w:hyperlink r:id="rId75">
        <w:r w:rsidRPr="00A662D8">
          <w:rPr>
            <w:rFonts w:ascii="Times New Roman" w:hAnsi="Times New Roman" w:cs="Times New Roman"/>
            <w:color w:val="0563C1"/>
            <w:sz w:val="24"/>
            <w:szCs w:val="24"/>
            <w:u w:val="single"/>
          </w:rPr>
          <w:t>http://amsdottorato.unibo.it/5918/</w:t>
        </w:r>
      </w:hyperlink>
      <w:r w:rsidRPr="00A662D8">
        <w:rPr>
          <w:rFonts w:ascii="Times New Roman" w:hAnsi="Times New Roman" w:cs="Times New Roman"/>
          <w:color w:val="000000"/>
          <w:sz w:val="24"/>
          <w:szCs w:val="24"/>
        </w:rPr>
        <w:t xml:space="preserve"> </w:t>
      </w:r>
    </w:p>
    <w:p w14:paraId="054CFE4C"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color w:val="000000"/>
          <w:sz w:val="24"/>
          <w:szCs w:val="24"/>
          <w:lang w:val="en-GB"/>
        </w:rPr>
        <w:t xml:space="preserve">Inter-réseaux Développement rural, 2016, </w:t>
      </w:r>
      <w:r w:rsidRPr="00831243">
        <w:rPr>
          <w:rFonts w:ascii="Times New Roman" w:hAnsi="Times New Roman" w:cs="Times New Roman"/>
          <w:i/>
          <w:iCs/>
          <w:color w:val="000000"/>
          <w:sz w:val="24"/>
          <w:szCs w:val="24"/>
          <w:lang w:val="en-GB"/>
        </w:rPr>
        <w:t>The Green Morocco Plan: The major principles and advances of Morocco’s agricultural strategy</w:t>
      </w:r>
      <w:r w:rsidRPr="00831243">
        <w:rPr>
          <w:rFonts w:ascii="Times New Roman" w:hAnsi="Times New Roman" w:cs="Times New Roman"/>
          <w:color w:val="000000"/>
          <w:sz w:val="24"/>
          <w:szCs w:val="24"/>
          <w:lang w:val="en-GB"/>
        </w:rPr>
        <w:t xml:space="preserve"> (Food Sovereignty Brief No. 20). </w:t>
      </w:r>
      <w:r w:rsidRPr="00E439FA">
        <w:rPr>
          <w:rFonts w:ascii="Times New Roman" w:hAnsi="Times New Roman" w:cs="Times New Roman"/>
          <w:color w:val="000000"/>
          <w:sz w:val="24"/>
          <w:szCs w:val="24"/>
          <w:lang w:val="en-GB"/>
        </w:rPr>
        <w:t xml:space="preserve">SOS Faim. Available at :  </w:t>
      </w:r>
      <w:hyperlink r:id="rId76">
        <w:r w:rsidRPr="00E439FA">
          <w:rPr>
            <w:rFonts w:ascii="Times New Roman" w:hAnsi="Times New Roman" w:cs="Times New Roman"/>
            <w:color w:val="0563C1"/>
            <w:sz w:val="24"/>
            <w:szCs w:val="24"/>
            <w:u w:val="single"/>
            <w:lang w:val="en-GB"/>
          </w:rPr>
          <w:t>https://www.inter-reseaux.org/wp-content/uploads/bds_no20_plan_maroc_vert_en.pdf</w:t>
        </w:r>
      </w:hyperlink>
    </w:p>
    <w:p w14:paraId="75C455E4"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E439FA">
        <w:rPr>
          <w:rFonts w:ascii="Times New Roman" w:hAnsi="Times New Roman" w:cs="Times New Roman"/>
          <w:color w:val="000000"/>
          <w:sz w:val="24"/>
          <w:szCs w:val="24"/>
          <w:lang w:val="en-GB"/>
        </w:rPr>
        <w:t>World Bank, 2020, Morocco</w:t>
      </w:r>
      <w:r w:rsidRPr="00E439FA">
        <w:rPr>
          <w:rFonts w:ascii="Times New Roman" w:hAnsi="Times New Roman" w:cs="Times New Roman"/>
          <w:i/>
          <w:iCs/>
          <w:color w:val="000000"/>
          <w:sz w:val="24"/>
          <w:szCs w:val="24"/>
          <w:lang w:val="en-GB"/>
        </w:rPr>
        <w:t xml:space="preserve"> Green Generation Program-for-Results (P170419)</w:t>
      </w:r>
      <w:r w:rsidRPr="00E439FA">
        <w:rPr>
          <w:rFonts w:ascii="Times New Roman" w:hAnsi="Times New Roman" w:cs="Times New Roman"/>
          <w:color w:val="000000"/>
          <w:sz w:val="24"/>
          <w:szCs w:val="24"/>
          <w:lang w:val="en-GB"/>
        </w:rPr>
        <w:t xml:space="preserve"> (Report No. PAD3800). International Bank for Reconstruction and Development. Available at :  </w:t>
      </w:r>
      <w:hyperlink r:id="rId77">
        <w:r w:rsidRPr="00E439FA">
          <w:rPr>
            <w:rFonts w:ascii="Times New Roman" w:hAnsi="Times New Roman" w:cs="Times New Roman"/>
            <w:color w:val="0563C1"/>
            <w:sz w:val="24"/>
            <w:szCs w:val="24"/>
            <w:u w:val="single"/>
            <w:lang w:val="en-GB"/>
          </w:rPr>
          <w:t>https://documents1.worldbank.org/curated/en/245801608346893390/pdf/Morocco-Green-Generation-Program-for-Results-Project.pdf</w:t>
        </w:r>
      </w:hyperlink>
    </w:p>
    <w:p w14:paraId="081FF315"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Belahsen, S., Khellaf, A.,</w:t>
      </w:r>
      <w:r w:rsidRPr="003B18E7">
        <w:rPr>
          <w:rFonts w:ascii="Times New Roman" w:hAnsi="Times New Roman" w:cs="Times New Roman"/>
          <w:sz w:val="21"/>
          <w:szCs w:val="21"/>
          <w:highlight w:val="white"/>
        </w:rPr>
        <w:t xml:space="preserve"> </w:t>
      </w:r>
      <w:r w:rsidRPr="003B18E7">
        <w:rPr>
          <w:rFonts w:ascii="Times New Roman" w:hAnsi="Times New Roman" w:cs="Times New Roman"/>
          <w:color w:val="000000"/>
          <w:sz w:val="24"/>
          <w:szCs w:val="24"/>
        </w:rPr>
        <w:t xml:space="preserve">&amp; Belahsen, M., 2016, Évaluation de la stratégie agricole du Maroc (Plan Maroc Vert) : Une analyse en équilibre général dynamique. </w:t>
      </w:r>
      <w:r w:rsidRPr="003B18E7">
        <w:rPr>
          <w:rFonts w:ascii="Times New Roman" w:hAnsi="Times New Roman" w:cs="Times New Roman"/>
          <w:i/>
          <w:iCs/>
          <w:color w:val="000000"/>
          <w:sz w:val="24"/>
          <w:szCs w:val="24"/>
        </w:rPr>
        <w:t>Dossiers de Recherches en Économie et Gestion</w:t>
      </w:r>
      <w:r w:rsidRPr="003B18E7">
        <w:rPr>
          <w:rFonts w:ascii="Times New Roman" w:hAnsi="Times New Roman" w:cs="Times New Roman"/>
          <w:color w:val="000000"/>
          <w:sz w:val="24"/>
          <w:szCs w:val="24"/>
        </w:rPr>
        <w:t xml:space="preserve"> </w:t>
      </w:r>
      <w:r w:rsidRPr="003B18E7">
        <w:rPr>
          <w:rFonts w:ascii="Times New Roman" w:hAnsi="Times New Roman" w:cs="Times New Roman"/>
          <w:b/>
          <w:bCs/>
          <w:color w:val="000000"/>
          <w:sz w:val="24"/>
          <w:szCs w:val="24"/>
        </w:rPr>
        <w:t>5</w:t>
      </w:r>
      <w:r w:rsidRPr="003B18E7">
        <w:rPr>
          <w:rFonts w:ascii="Times New Roman" w:hAnsi="Times New Roman" w:cs="Times New Roman"/>
          <w:color w:val="000000"/>
          <w:sz w:val="24"/>
          <w:szCs w:val="24"/>
        </w:rPr>
        <w:t xml:space="preserve">(1), 13–46. </w:t>
      </w:r>
      <w:hyperlink r:id="rId78">
        <w:r w:rsidRPr="003B18E7">
          <w:rPr>
            <w:rFonts w:ascii="Times New Roman" w:hAnsi="Times New Roman" w:cs="Times New Roman"/>
            <w:color w:val="0563C1"/>
            <w:sz w:val="24"/>
            <w:szCs w:val="24"/>
            <w:highlight w:val="white"/>
            <w:u w:val="single"/>
          </w:rPr>
          <w:t>https://doi.org/10.34874/IMIST.PRSM/doreg-v5i1.15224</w:t>
        </w:r>
      </w:hyperlink>
      <w:r w:rsidRPr="003B18E7">
        <w:rPr>
          <w:rFonts w:ascii="Times New Roman" w:hAnsi="Times New Roman" w:cs="Times New Roman"/>
          <w:color w:val="000000"/>
          <w:sz w:val="24"/>
          <w:szCs w:val="24"/>
          <w:highlight w:val="white"/>
        </w:rPr>
        <w:t xml:space="preserve"> </w:t>
      </w:r>
    </w:p>
    <w:p w14:paraId="4CBD2BA5"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rPr>
      </w:pPr>
      <w:r w:rsidRPr="003B18E7">
        <w:rPr>
          <w:rFonts w:ascii="Times New Roman" w:hAnsi="Times New Roman" w:cs="Times New Roman"/>
          <w:color w:val="000000"/>
          <w:sz w:val="24"/>
          <w:szCs w:val="24"/>
        </w:rPr>
        <w:t xml:space="preserve">Le Matin, 2025, Le Maroc prépare sa « Vision agricole 2050 ». </w:t>
      </w:r>
      <w:r w:rsidRPr="00E9770E">
        <w:rPr>
          <w:rFonts w:ascii="Times New Roman" w:hAnsi="Times New Roman" w:cs="Times New Roman"/>
          <w:i/>
          <w:iCs/>
          <w:sz w:val="24"/>
          <w:szCs w:val="24"/>
        </w:rPr>
        <w:t>Le Matin.</w:t>
      </w:r>
      <w:r w:rsidRPr="00E9770E">
        <w:rPr>
          <w:rFonts w:ascii="Times New Roman" w:hAnsi="Times New Roman" w:cs="Times New Roman"/>
          <w:sz w:val="24"/>
          <w:szCs w:val="24"/>
        </w:rPr>
        <w:t xml:space="preserve"> </w:t>
      </w:r>
      <w:r w:rsidRPr="003B18E7">
        <w:rPr>
          <w:rFonts w:ascii="Times New Roman" w:hAnsi="Times New Roman" w:cs="Times New Roman"/>
          <w:color w:val="000000"/>
          <w:sz w:val="24"/>
          <w:szCs w:val="24"/>
        </w:rPr>
        <w:t xml:space="preserve">Available at :  </w:t>
      </w:r>
      <w:hyperlink r:id="rId79">
        <w:r w:rsidRPr="003B18E7">
          <w:rPr>
            <w:rFonts w:ascii="Times New Roman" w:hAnsi="Times New Roman" w:cs="Times New Roman"/>
            <w:color w:val="0563C1"/>
            <w:sz w:val="24"/>
            <w:szCs w:val="24"/>
            <w:u w:val="single"/>
          </w:rPr>
          <w:t>https://lematin.ma/economie/vision-agricole-2050-la-nouvelle-strategie-du-royaume-pour-lagriculture/303913</w:t>
        </w:r>
      </w:hyperlink>
    </w:p>
    <w:p w14:paraId="10402991"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rPr>
      </w:pPr>
      <w:r w:rsidRPr="003B18E7">
        <w:rPr>
          <w:rFonts w:ascii="Times New Roman" w:hAnsi="Times New Roman" w:cs="Times New Roman"/>
          <w:color w:val="000000"/>
          <w:sz w:val="24"/>
          <w:szCs w:val="24"/>
        </w:rPr>
        <w:t xml:space="preserve">AgriMaroc, 2025, </w:t>
      </w:r>
      <w:r w:rsidRPr="003B18E7">
        <w:rPr>
          <w:rFonts w:ascii="Times New Roman" w:hAnsi="Times New Roman" w:cs="Times New Roman"/>
          <w:i/>
          <w:iCs/>
          <w:color w:val="000000"/>
          <w:sz w:val="24"/>
          <w:szCs w:val="24"/>
        </w:rPr>
        <w:t>Une vision agricole 2050 pour anticiper les défis du siècle</w:t>
      </w:r>
      <w:r w:rsidRPr="003B18E7">
        <w:rPr>
          <w:rFonts w:ascii="Times New Roman" w:hAnsi="Times New Roman" w:cs="Times New Roman"/>
          <w:color w:val="000000"/>
          <w:sz w:val="24"/>
          <w:szCs w:val="24"/>
        </w:rPr>
        <w:t xml:space="preserve">. </w:t>
      </w:r>
      <w:r w:rsidRPr="00E9770E">
        <w:rPr>
          <w:rFonts w:ascii="Times New Roman" w:hAnsi="Times New Roman" w:cs="Times New Roman"/>
          <w:i/>
          <w:iCs/>
          <w:sz w:val="24"/>
          <w:szCs w:val="24"/>
        </w:rPr>
        <w:t>AgriMaroc.</w:t>
      </w:r>
      <w:r w:rsidRPr="00E9770E">
        <w:rPr>
          <w:rFonts w:ascii="Times New Roman" w:hAnsi="Times New Roman" w:cs="Times New Roman"/>
          <w:sz w:val="24"/>
          <w:szCs w:val="24"/>
        </w:rPr>
        <w:t xml:space="preserve"> </w:t>
      </w:r>
      <w:r w:rsidRPr="003B18E7">
        <w:rPr>
          <w:rFonts w:ascii="Times New Roman" w:hAnsi="Times New Roman" w:cs="Times New Roman"/>
          <w:color w:val="000000"/>
          <w:sz w:val="24"/>
          <w:szCs w:val="24"/>
        </w:rPr>
        <w:t>Available online at </w:t>
      </w:r>
      <w:r w:rsidRPr="003B18E7">
        <w:rPr>
          <w:rFonts w:ascii="Times New Roman" w:hAnsi="Times New Roman" w:cs="Times New Roman"/>
          <w:color w:val="0563C1"/>
          <w:sz w:val="24"/>
          <w:szCs w:val="24"/>
          <w:u w:val="single"/>
        </w:rPr>
        <w:t>:</w:t>
      </w:r>
      <w:hyperlink r:id="rId80">
        <w:r w:rsidRPr="00E9770E">
          <w:rPr>
            <w:rFonts w:ascii="Times New Roman" w:hAnsi="Times New Roman" w:cs="Times New Roman"/>
            <w:color w:val="0563C1"/>
            <w:sz w:val="24"/>
            <w:szCs w:val="24"/>
            <w:u w:val="single"/>
          </w:rPr>
          <w:t>https://www.agrimaroc.ma/une-vision-agricole-2050-pour-anticiper-les-defis-du-siecle/</w:t>
        </w:r>
      </w:hyperlink>
    </w:p>
    <w:p w14:paraId="0887643D"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rPr>
      </w:pPr>
      <w:r w:rsidRPr="003B18E7">
        <w:rPr>
          <w:rFonts w:ascii="Times New Roman" w:hAnsi="Times New Roman" w:cs="Times New Roman"/>
          <w:color w:val="000000"/>
          <w:sz w:val="24"/>
          <w:szCs w:val="24"/>
        </w:rPr>
        <w:t xml:space="preserve">Haut-Commissariat au Plan (Maroc), 2024, </w:t>
      </w:r>
      <w:r w:rsidRPr="003B18E7">
        <w:rPr>
          <w:rFonts w:ascii="Times New Roman" w:hAnsi="Times New Roman" w:cs="Times New Roman"/>
          <w:i/>
          <w:iCs/>
          <w:color w:val="000000"/>
          <w:sz w:val="24"/>
          <w:szCs w:val="24"/>
        </w:rPr>
        <w:t>Budget économique prévisionnel 2024 : La situation économique en 2023 et ses perspectives en 2024</w:t>
      </w:r>
      <w:r w:rsidRPr="003B18E7">
        <w:rPr>
          <w:rFonts w:ascii="Times New Roman" w:hAnsi="Times New Roman" w:cs="Times New Roman"/>
          <w:color w:val="000000"/>
          <w:sz w:val="24"/>
          <w:szCs w:val="24"/>
        </w:rPr>
        <w:t xml:space="preserve">, </w:t>
      </w:r>
      <w:r w:rsidRPr="003B18E7">
        <w:rPr>
          <w:rFonts w:ascii="Times New Roman" w:hAnsi="Times New Roman" w:cs="Times New Roman"/>
          <w:i/>
          <w:iCs/>
          <w:color w:val="000000"/>
          <w:sz w:val="24"/>
          <w:szCs w:val="24"/>
        </w:rPr>
        <w:t>Haut-Commissariat au Plan</w:t>
      </w:r>
      <w:r w:rsidRPr="003B18E7">
        <w:rPr>
          <w:rFonts w:ascii="Times New Roman" w:hAnsi="Times New Roman" w:cs="Times New Roman"/>
          <w:color w:val="000000"/>
          <w:sz w:val="24"/>
          <w:szCs w:val="24"/>
        </w:rPr>
        <w:t>. Available at </w:t>
      </w:r>
      <w:r w:rsidRPr="003B18E7">
        <w:rPr>
          <w:rFonts w:ascii="Times New Roman" w:hAnsi="Times New Roman" w:cs="Times New Roman"/>
          <w:color w:val="0563C1"/>
          <w:sz w:val="24"/>
          <w:szCs w:val="24"/>
          <w:u w:val="single"/>
        </w:rPr>
        <w:t>:</w:t>
      </w:r>
      <w:hyperlink r:id="rId81">
        <w:r w:rsidRPr="003B18E7">
          <w:rPr>
            <w:rFonts w:ascii="Times New Roman" w:hAnsi="Times New Roman" w:cs="Times New Roman"/>
            <w:color w:val="0563C1"/>
            <w:sz w:val="24"/>
            <w:szCs w:val="24"/>
          </w:rPr>
          <w:t>https://www.hcp.ma/Budget-economique-previsionnel-2024_a3807.html</w:t>
        </w:r>
      </w:hyperlink>
    </w:p>
    <w:p w14:paraId="4D1D335A"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highlight w:val="white"/>
          <w:u w:val="single"/>
          <w:lang w:val="en-GB"/>
        </w:rPr>
      </w:pPr>
      <w:r w:rsidRPr="00E439FA">
        <w:rPr>
          <w:rFonts w:ascii="Times New Roman" w:hAnsi="Times New Roman" w:cs="Times New Roman"/>
          <w:color w:val="000000"/>
          <w:sz w:val="24"/>
          <w:szCs w:val="24"/>
          <w:lang w:val="en-GB"/>
        </w:rPr>
        <w:t xml:space="preserve">Farahy, O., Laghfiri, M., Bourioug, M., &amp; Aleya, L., 2021, Overview of pesticide use in Moroccan apple orchards and its effects on the environment. </w:t>
      </w:r>
      <w:r w:rsidRPr="00E439FA">
        <w:rPr>
          <w:rFonts w:ascii="Times New Roman" w:hAnsi="Times New Roman" w:cs="Times New Roman"/>
          <w:i/>
          <w:iCs/>
          <w:color w:val="000000"/>
          <w:sz w:val="24"/>
          <w:szCs w:val="24"/>
          <w:lang w:val="en-GB"/>
        </w:rPr>
        <w:t>Current Opinion in Environmental Science &amp; Health</w:t>
      </w:r>
      <w:r w:rsidRPr="00E439FA">
        <w:rPr>
          <w:rFonts w:ascii="Times New Roman" w:hAnsi="Times New Roman" w:cs="Times New Roman"/>
          <w:b/>
          <w:bCs/>
          <w:color w:val="000000"/>
          <w:sz w:val="24"/>
          <w:szCs w:val="24"/>
          <w:lang w:val="en-GB"/>
        </w:rPr>
        <w:t xml:space="preserve"> 19</w:t>
      </w:r>
      <w:r w:rsidRPr="00E439FA">
        <w:rPr>
          <w:rFonts w:ascii="Times New Roman" w:hAnsi="Times New Roman" w:cs="Times New Roman"/>
          <w:color w:val="000000"/>
          <w:sz w:val="24"/>
          <w:szCs w:val="24"/>
          <w:lang w:val="en-GB"/>
        </w:rPr>
        <w:t>, 100223.</w:t>
      </w:r>
      <w:r w:rsidRPr="00E439FA">
        <w:rPr>
          <w:rFonts w:ascii="Times New Roman" w:hAnsi="Times New Roman" w:cs="Times New Roman"/>
          <w:color w:val="0563C1"/>
          <w:sz w:val="24"/>
          <w:szCs w:val="24"/>
          <w:highlight w:val="white"/>
          <w:u w:val="single"/>
          <w:lang w:val="en-GB"/>
        </w:rPr>
        <w:t xml:space="preserve"> </w:t>
      </w:r>
      <w:hyperlink r:id="rId82">
        <w:r w:rsidRPr="00E439FA">
          <w:rPr>
            <w:rFonts w:ascii="Times New Roman" w:hAnsi="Times New Roman" w:cs="Times New Roman"/>
            <w:color w:val="0563C1"/>
            <w:sz w:val="24"/>
            <w:szCs w:val="24"/>
            <w:highlight w:val="white"/>
            <w:u w:val="single"/>
            <w:lang w:val="en-GB"/>
          </w:rPr>
          <w:t>https://doi.org/10.1016/j.coesh.2020.10.011</w:t>
        </w:r>
      </w:hyperlink>
    </w:p>
    <w:p w14:paraId="7447F090"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DC5285">
        <w:rPr>
          <w:rFonts w:ascii="Times New Roman" w:hAnsi="Times New Roman" w:cs="Times New Roman"/>
          <w:color w:val="000000"/>
          <w:sz w:val="24"/>
          <w:szCs w:val="24"/>
          <w:lang w:val="en-GB"/>
        </w:rPr>
        <w:t xml:space="preserve">De Rosa, E., Cerino, P., Triassi, M., Di Duca, F., Porreca, A., Russo, I., Scippa, S., Venuta, A., Coppola, A., Pizzolante, A., Nicodemo, F., Trama, U., Policino, F., &amp; Montuori, P., 2025, Contamination assessment and risk evaluation of organophosphorus pesticides in groundwater: A study on contamination patterns and implications. </w:t>
      </w:r>
      <w:r w:rsidRPr="00E439FA">
        <w:rPr>
          <w:rFonts w:ascii="Times New Roman" w:hAnsi="Times New Roman" w:cs="Times New Roman"/>
          <w:i/>
          <w:iCs/>
          <w:color w:val="000000"/>
          <w:sz w:val="24"/>
          <w:szCs w:val="24"/>
          <w:lang w:val="en-GB"/>
        </w:rPr>
        <w:t>Journal of Hazardous Materials Advances</w:t>
      </w:r>
      <w:r w:rsidRPr="00E439FA">
        <w:rPr>
          <w:rFonts w:ascii="Times New Roman" w:hAnsi="Times New Roman" w:cs="Times New Roman"/>
          <w:b/>
          <w:bCs/>
          <w:color w:val="000000"/>
          <w:sz w:val="24"/>
          <w:szCs w:val="24"/>
          <w:lang w:val="en-GB"/>
        </w:rPr>
        <w:t xml:space="preserve"> 18</w:t>
      </w:r>
      <w:r w:rsidRPr="00E439FA">
        <w:rPr>
          <w:rFonts w:ascii="Times New Roman" w:hAnsi="Times New Roman" w:cs="Times New Roman"/>
          <w:color w:val="000000"/>
          <w:sz w:val="24"/>
          <w:szCs w:val="24"/>
          <w:lang w:val="en-GB"/>
        </w:rPr>
        <w:t xml:space="preserve">, 100701. </w:t>
      </w:r>
      <w:hyperlink r:id="rId83">
        <w:r w:rsidRPr="00E439FA">
          <w:rPr>
            <w:rFonts w:ascii="Times New Roman" w:hAnsi="Times New Roman" w:cs="Times New Roman"/>
            <w:color w:val="0563C1"/>
            <w:sz w:val="24"/>
            <w:szCs w:val="24"/>
            <w:highlight w:val="white"/>
            <w:u w:val="single"/>
            <w:lang w:val="en-GB"/>
          </w:rPr>
          <w:t>https://doi.org/10.1016/j.hazadv.2025.100701</w:t>
        </w:r>
      </w:hyperlink>
    </w:p>
    <w:p w14:paraId="06E4C199"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lang w:val="en-GB"/>
        </w:rPr>
      </w:pPr>
      <w:r w:rsidRPr="003B18E7">
        <w:rPr>
          <w:rFonts w:ascii="Times New Roman" w:hAnsi="Times New Roman" w:cs="Times New Roman"/>
          <w:color w:val="000000"/>
          <w:sz w:val="24"/>
          <w:szCs w:val="24"/>
        </w:rPr>
        <w:t xml:space="preserve">Fondation Crédit Agricole du Maroc pour le Développement Durable &amp; Association AgroTech Souss-Massa, 2021, </w:t>
      </w:r>
      <w:r w:rsidRPr="003B18E7">
        <w:rPr>
          <w:rFonts w:ascii="Times New Roman" w:hAnsi="Times New Roman" w:cs="Times New Roman"/>
          <w:i/>
          <w:iCs/>
          <w:color w:val="000000"/>
          <w:sz w:val="24"/>
          <w:szCs w:val="24"/>
        </w:rPr>
        <w:t>Projet de collecte et de valorisation durable des déchets plastiques agricoles dans la région Souss-Massa</w:t>
      </w:r>
      <w:r w:rsidRPr="003B18E7">
        <w:rPr>
          <w:rFonts w:ascii="Times New Roman" w:hAnsi="Times New Roman" w:cs="Times New Roman"/>
          <w:color w:val="000000"/>
          <w:sz w:val="24"/>
          <w:szCs w:val="24"/>
        </w:rPr>
        <w:t xml:space="preserve"> (Maroc : Groupe Crédit Agricole du Maroc – Fondation pour le Développement Durable). </w:t>
      </w:r>
      <w:r w:rsidRPr="00E439FA">
        <w:rPr>
          <w:rFonts w:ascii="Times New Roman" w:hAnsi="Times New Roman" w:cs="Times New Roman"/>
          <w:color w:val="000000"/>
          <w:sz w:val="24"/>
          <w:szCs w:val="24"/>
          <w:lang w:val="en-GB"/>
        </w:rPr>
        <w:t xml:space="preserve">Available at :  </w:t>
      </w:r>
      <w:hyperlink r:id="rId84">
        <w:r w:rsidRPr="00E439FA">
          <w:rPr>
            <w:rFonts w:ascii="Times New Roman" w:hAnsi="Times New Roman" w:cs="Times New Roman"/>
            <w:color w:val="0563C1"/>
            <w:sz w:val="24"/>
            <w:szCs w:val="24"/>
            <w:u w:val="single"/>
            <w:lang w:val="en-GB"/>
          </w:rPr>
          <w:t>https://www.fellah-trade.com/ressources/pdf/guide-plastiques-agricoles-fr.pdf</w:t>
        </w:r>
      </w:hyperlink>
    </w:p>
    <w:p w14:paraId="10E3B2AC"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rPr>
      </w:pPr>
      <w:r w:rsidRPr="00E439FA">
        <w:rPr>
          <w:rFonts w:ascii="Times New Roman" w:hAnsi="Times New Roman" w:cs="Times New Roman"/>
          <w:color w:val="000000"/>
          <w:sz w:val="24"/>
          <w:szCs w:val="24"/>
          <w:lang w:val="en-GB"/>
        </w:rPr>
        <w:t xml:space="preserve">Mzabri, I., Rimani, M., Charif, K., Kouddane, N., &amp; Berrichi, A., 2021, Study of the effect of mulching materials on weed control in saffron cultivation in Eastern Morocco. </w:t>
      </w:r>
      <w:r w:rsidRPr="003B18E7">
        <w:rPr>
          <w:rFonts w:ascii="Times New Roman" w:hAnsi="Times New Roman" w:cs="Times New Roman"/>
          <w:i/>
          <w:iCs/>
          <w:color w:val="000000"/>
          <w:sz w:val="24"/>
          <w:szCs w:val="24"/>
        </w:rPr>
        <w:t xml:space="preserve">The Scientific World Journal </w:t>
      </w:r>
      <w:r w:rsidRPr="003B18E7">
        <w:rPr>
          <w:rFonts w:ascii="Times New Roman" w:hAnsi="Times New Roman" w:cs="Times New Roman"/>
          <w:color w:val="000000"/>
          <w:sz w:val="24"/>
          <w:szCs w:val="24"/>
        </w:rPr>
        <w:t xml:space="preserve">2021, 9727004. </w:t>
      </w:r>
      <w:hyperlink r:id="rId85">
        <w:r w:rsidRPr="003B18E7">
          <w:rPr>
            <w:rFonts w:ascii="Times New Roman" w:hAnsi="Times New Roman" w:cs="Times New Roman"/>
            <w:color w:val="0563C1"/>
            <w:sz w:val="24"/>
            <w:szCs w:val="24"/>
            <w:u w:val="single"/>
          </w:rPr>
          <w:t>https://doi.org/10.1155/2021/9727004</w:t>
        </w:r>
      </w:hyperlink>
    </w:p>
    <w:p w14:paraId="0A4A2AC8"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831243">
        <w:rPr>
          <w:rFonts w:ascii="Times New Roman" w:hAnsi="Times New Roman" w:cs="Times New Roman"/>
          <w:color w:val="000000"/>
          <w:sz w:val="24"/>
          <w:szCs w:val="24"/>
          <w:lang w:val="en-GB"/>
        </w:rPr>
        <w:t>Nsabiyumva, J. M. V., Apollonio, C., Castelli, G., Petroselli, A., Sabir, M., &amp; Preti, F., 2023, Agricultural practices for hillslope erosion mitigation:</w:t>
      </w:r>
      <w:r w:rsidRPr="00831243">
        <w:rPr>
          <w:rFonts w:ascii="Times New Roman" w:hAnsi="Times New Roman" w:cs="Times New Roman"/>
          <w:i/>
          <w:iCs/>
          <w:color w:val="000000"/>
          <w:sz w:val="24"/>
          <w:szCs w:val="24"/>
          <w:lang w:val="en-GB"/>
        </w:rPr>
        <w:t xml:space="preserve"> </w:t>
      </w:r>
      <w:r w:rsidRPr="00831243">
        <w:rPr>
          <w:rFonts w:ascii="Times New Roman" w:hAnsi="Times New Roman" w:cs="Times New Roman"/>
          <w:color w:val="000000"/>
          <w:sz w:val="24"/>
          <w:szCs w:val="24"/>
          <w:lang w:val="en-GB"/>
        </w:rPr>
        <w:t xml:space="preserve">A case study in Morocco. </w:t>
      </w:r>
      <w:r w:rsidRPr="003B18E7">
        <w:rPr>
          <w:rFonts w:ascii="Times New Roman" w:hAnsi="Times New Roman" w:cs="Times New Roman"/>
          <w:i/>
          <w:iCs/>
          <w:color w:val="000000"/>
          <w:sz w:val="24"/>
          <w:szCs w:val="24"/>
        </w:rPr>
        <w:t xml:space="preserve">Water </w:t>
      </w:r>
      <w:r w:rsidRPr="003B18E7">
        <w:rPr>
          <w:rFonts w:ascii="Times New Roman" w:hAnsi="Times New Roman" w:cs="Times New Roman"/>
          <w:b/>
          <w:bCs/>
          <w:color w:val="000000"/>
          <w:sz w:val="24"/>
          <w:szCs w:val="24"/>
        </w:rPr>
        <w:t>15</w:t>
      </w:r>
      <w:r w:rsidRPr="003B18E7">
        <w:rPr>
          <w:rFonts w:ascii="Times New Roman" w:hAnsi="Times New Roman" w:cs="Times New Roman"/>
          <w:color w:val="000000"/>
          <w:sz w:val="24"/>
          <w:szCs w:val="24"/>
        </w:rPr>
        <w:t xml:space="preserve">(11), 2120. </w:t>
      </w:r>
      <w:hyperlink r:id="rId86">
        <w:r w:rsidRPr="003B18E7">
          <w:rPr>
            <w:rFonts w:ascii="Times New Roman" w:hAnsi="Times New Roman" w:cs="Times New Roman"/>
            <w:color w:val="0563C1"/>
            <w:sz w:val="24"/>
            <w:szCs w:val="24"/>
            <w:u w:val="single"/>
          </w:rPr>
          <w:t>https://doi.org/10.3390/w15112120</w:t>
        </w:r>
      </w:hyperlink>
    </w:p>
    <w:p w14:paraId="5A57FA45" w14:textId="1AE6384E"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color w:val="000000"/>
          <w:sz w:val="24"/>
          <w:szCs w:val="24"/>
          <w:lang w:val="en-GB"/>
        </w:rPr>
        <w:t xml:space="preserve">Imane, M., Ahlam, H., Ahlem, H., Manal, E. M., &amp; Mohammed, E., 2023, Study of the Effect of Plastic Film in Tunnels on the Yield and Quality of Strawberry Plants. </w:t>
      </w:r>
      <w:r w:rsidRPr="00E439FA">
        <w:rPr>
          <w:rFonts w:ascii="Times New Roman" w:hAnsi="Times New Roman" w:cs="Times New Roman"/>
          <w:i/>
          <w:iCs/>
          <w:color w:val="000000"/>
          <w:sz w:val="24"/>
          <w:szCs w:val="24"/>
          <w:lang w:val="en-GB"/>
        </w:rPr>
        <w:t> </w:t>
      </w:r>
      <w:r w:rsidRPr="003B18E7">
        <w:rPr>
          <w:rFonts w:ascii="Times New Roman" w:hAnsi="Times New Roman" w:cs="Times New Roman"/>
          <w:i/>
          <w:iCs/>
          <w:color w:val="000000"/>
          <w:sz w:val="24"/>
          <w:szCs w:val="24"/>
        </w:rPr>
        <w:t xml:space="preserve">Lecture notes in networks and systems, </w:t>
      </w:r>
      <w:r w:rsidRPr="003B18E7">
        <w:rPr>
          <w:rFonts w:ascii="Times New Roman" w:hAnsi="Times New Roman" w:cs="Times New Roman"/>
          <w:color w:val="000000"/>
          <w:sz w:val="24"/>
          <w:szCs w:val="24"/>
        </w:rPr>
        <w:t>735-742. </w:t>
      </w:r>
      <w:hyperlink r:id="rId87">
        <w:r w:rsidRPr="003B18E7">
          <w:rPr>
            <w:rFonts w:ascii="Times New Roman" w:hAnsi="Times New Roman" w:cs="Times New Roman"/>
            <w:color w:val="0563C1"/>
            <w:sz w:val="24"/>
            <w:szCs w:val="24"/>
            <w:u w:val="single"/>
          </w:rPr>
          <w:t>https://doi.org/10.1007/978-3-031-35248-5_64</w:t>
        </w:r>
      </w:hyperlink>
      <w:r w:rsidRPr="003B18E7">
        <w:rPr>
          <w:rFonts w:ascii="Times New Roman" w:hAnsi="Times New Roman" w:cs="Times New Roman"/>
          <w:color w:val="000000"/>
          <w:sz w:val="24"/>
          <w:szCs w:val="24"/>
        </w:rPr>
        <w:t xml:space="preserve"> </w:t>
      </w:r>
    </w:p>
    <w:p w14:paraId="7C290B12" w14:textId="2ABE1D8F"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highlight w:val="white"/>
          <w:u w:val="single"/>
        </w:rPr>
      </w:pPr>
      <w:r w:rsidRPr="003B18E7">
        <w:rPr>
          <w:rFonts w:ascii="Times New Roman" w:hAnsi="Times New Roman" w:cs="Times New Roman"/>
          <w:color w:val="000000"/>
          <w:sz w:val="24"/>
          <w:szCs w:val="24"/>
        </w:rPr>
        <w:t>Tozanli, S., &amp; El Hadad Gauthier, F., 2007, Gouvernance de la chaîne globale de valeur et coordination des acteurs locaux : la filière d’exportation des tomates fraîches au Maroc et en Turquie. </w:t>
      </w:r>
      <w:r w:rsidRPr="00E9770E">
        <w:rPr>
          <w:rFonts w:ascii="Times New Roman" w:hAnsi="Times New Roman" w:cs="Times New Roman"/>
          <w:i/>
          <w:iCs/>
          <w:sz w:val="24"/>
          <w:szCs w:val="24"/>
        </w:rPr>
        <w:t>Cahiers Agricultures</w:t>
      </w:r>
      <w:r w:rsidRPr="00E9770E">
        <w:rPr>
          <w:rFonts w:ascii="Times New Roman" w:hAnsi="Times New Roman" w:cs="Times New Roman"/>
          <w:sz w:val="24"/>
          <w:szCs w:val="24"/>
        </w:rPr>
        <w:t xml:space="preserve"> </w:t>
      </w:r>
      <w:r w:rsidRPr="00E9770E">
        <w:rPr>
          <w:rFonts w:ascii="Times New Roman" w:hAnsi="Times New Roman" w:cs="Times New Roman"/>
          <w:b/>
          <w:bCs/>
          <w:sz w:val="24"/>
          <w:szCs w:val="24"/>
        </w:rPr>
        <w:t>16</w:t>
      </w:r>
      <w:r w:rsidRPr="003B18E7">
        <w:rPr>
          <w:rFonts w:ascii="Times New Roman" w:hAnsi="Times New Roman" w:cs="Times New Roman"/>
          <w:color w:val="0000FF"/>
          <w:sz w:val="24"/>
          <w:szCs w:val="24"/>
        </w:rPr>
        <w:t>(</w:t>
      </w:r>
      <w:r w:rsidRPr="003B18E7">
        <w:rPr>
          <w:rFonts w:ascii="Times New Roman" w:hAnsi="Times New Roman" w:cs="Times New Roman"/>
          <w:color w:val="000000"/>
          <w:sz w:val="24"/>
          <w:szCs w:val="24"/>
        </w:rPr>
        <w:t xml:space="preserve">4), 278–286. </w:t>
      </w:r>
      <w:hyperlink r:id="rId88">
        <w:r w:rsidRPr="003B18E7">
          <w:rPr>
            <w:rFonts w:ascii="Times New Roman" w:hAnsi="Times New Roman" w:cs="Times New Roman"/>
            <w:color w:val="0563C1"/>
            <w:sz w:val="24"/>
            <w:szCs w:val="24"/>
            <w:u w:val="single"/>
          </w:rPr>
          <w:t>https://doi.org/10.1684/agr.2007.0110</w:t>
        </w:r>
      </w:hyperlink>
      <w:r w:rsidRPr="003B18E7">
        <w:rPr>
          <w:rFonts w:ascii="Times New Roman" w:hAnsi="Times New Roman" w:cs="Times New Roman"/>
          <w:color w:val="0563C1"/>
          <w:sz w:val="24"/>
          <w:szCs w:val="24"/>
          <w:highlight w:val="white"/>
          <w:u w:val="single"/>
        </w:rPr>
        <w:t xml:space="preserve"> </w:t>
      </w:r>
    </w:p>
    <w:p w14:paraId="4D9AA1DB"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E439FA">
        <w:rPr>
          <w:rFonts w:ascii="Times New Roman" w:hAnsi="Times New Roman" w:cs="Times New Roman"/>
          <w:color w:val="000000"/>
          <w:sz w:val="24"/>
          <w:szCs w:val="24"/>
          <w:lang w:val="en-GB"/>
        </w:rPr>
        <w:t xml:space="preserve">Louanjli, F. A., Bahlaouan, B., Fathi, A., Ozi, F. Z., Hadidi, M., Assaba, S., El Antri, S., &amp; Boutaleb, N., 2020, Conception by a process for extruding plastic mulching film with cade oil and study of snail repellent and anti-bacterial adhesion effects. </w:t>
      </w:r>
      <w:r w:rsidRPr="00E439FA">
        <w:rPr>
          <w:rFonts w:ascii="Times New Roman" w:hAnsi="Times New Roman" w:cs="Times New Roman"/>
          <w:i/>
          <w:iCs/>
          <w:color w:val="000000"/>
          <w:sz w:val="24"/>
          <w:szCs w:val="24"/>
          <w:lang w:val="en-GB"/>
        </w:rPr>
        <w:t>Journal of Agricultural Science and Technology B</w:t>
      </w:r>
      <w:r w:rsidRPr="00E439FA">
        <w:rPr>
          <w:rFonts w:ascii="Times New Roman" w:hAnsi="Times New Roman" w:cs="Times New Roman"/>
          <w:color w:val="000000"/>
          <w:sz w:val="24"/>
          <w:szCs w:val="24"/>
          <w:lang w:val="en-GB"/>
        </w:rPr>
        <w:t xml:space="preserve"> </w:t>
      </w:r>
      <w:r w:rsidRPr="00E439FA">
        <w:rPr>
          <w:rFonts w:ascii="Times New Roman" w:hAnsi="Times New Roman" w:cs="Times New Roman"/>
          <w:b/>
          <w:bCs/>
          <w:color w:val="000000"/>
          <w:sz w:val="24"/>
          <w:szCs w:val="24"/>
          <w:lang w:val="en-GB"/>
        </w:rPr>
        <w:t>10</w:t>
      </w:r>
      <w:r w:rsidRPr="00E439FA">
        <w:rPr>
          <w:rFonts w:ascii="Times New Roman" w:hAnsi="Times New Roman" w:cs="Times New Roman"/>
          <w:color w:val="000000"/>
          <w:sz w:val="24"/>
          <w:szCs w:val="24"/>
          <w:lang w:val="en-GB"/>
        </w:rPr>
        <w:t xml:space="preserve">, 265–273. </w:t>
      </w:r>
      <w:hyperlink r:id="rId89">
        <w:r w:rsidRPr="00E439FA">
          <w:rPr>
            <w:rFonts w:ascii="Times New Roman" w:hAnsi="Times New Roman" w:cs="Times New Roman"/>
            <w:color w:val="0563C1"/>
            <w:sz w:val="24"/>
            <w:szCs w:val="24"/>
            <w:u w:val="single"/>
            <w:lang w:val="en-GB"/>
          </w:rPr>
          <w:t>https://doi.org/10.17265/2161-6264/2020.05.001</w:t>
        </w:r>
      </w:hyperlink>
      <w:r w:rsidRPr="00E439FA">
        <w:rPr>
          <w:rFonts w:ascii="Times New Roman" w:hAnsi="Times New Roman" w:cs="Times New Roman"/>
          <w:color w:val="000000"/>
          <w:sz w:val="24"/>
          <w:szCs w:val="24"/>
          <w:lang w:val="en-GB"/>
        </w:rPr>
        <w:t xml:space="preserve"> </w:t>
      </w:r>
    </w:p>
    <w:p w14:paraId="40403330"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831243">
        <w:rPr>
          <w:rFonts w:ascii="Times New Roman" w:hAnsi="Times New Roman" w:cs="Times New Roman"/>
          <w:color w:val="000000"/>
          <w:sz w:val="24"/>
          <w:szCs w:val="24"/>
          <w:lang w:val="en-GB"/>
        </w:rPr>
        <w:t xml:space="preserve">FAO, IFAD, WHO, WFP, &amp; UNICEF, 2024, </w:t>
      </w:r>
      <w:r w:rsidRPr="00831243">
        <w:rPr>
          <w:rFonts w:ascii="Times New Roman" w:hAnsi="Times New Roman" w:cs="Times New Roman"/>
          <w:i/>
          <w:iCs/>
          <w:color w:val="000000"/>
          <w:sz w:val="24"/>
          <w:szCs w:val="24"/>
          <w:lang w:val="en-GB"/>
        </w:rPr>
        <w:t>The State of Food Security and Nutrition in the World 2024: Financing to End Hunger, Food Insecurity and All Forms of Malnutrition</w:t>
      </w:r>
      <w:r w:rsidRPr="00831243">
        <w:rPr>
          <w:rFonts w:ascii="Times New Roman" w:hAnsi="Times New Roman" w:cs="Times New Roman"/>
          <w:color w:val="000000"/>
          <w:sz w:val="24"/>
          <w:szCs w:val="24"/>
          <w:lang w:val="en-GB"/>
        </w:rPr>
        <w:t xml:space="preserve">. </w:t>
      </w:r>
      <w:r w:rsidRPr="003B18E7">
        <w:rPr>
          <w:rFonts w:ascii="Times New Roman" w:hAnsi="Times New Roman" w:cs="Times New Roman"/>
          <w:color w:val="000000"/>
          <w:sz w:val="24"/>
          <w:szCs w:val="24"/>
        </w:rPr>
        <w:t xml:space="preserve">Rome: FAO, IFAD, WHO, WFP &amp; UNICEF. </w:t>
      </w:r>
      <w:hyperlink r:id="rId90">
        <w:r w:rsidRPr="003B18E7">
          <w:rPr>
            <w:rFonts w:ascii="Times New Roman" w:hAnsi="Times New Roman" w:cs="Times New Roman"/>
            <w:color w:val="0563C1"/>
            <w:sz w:val="24"/>
            <w:szCs w:val="24"/>
            <w:u w:val="single"/>
          </w:rPr>
          <w:t>https://doi.org/10.4060/cd1254fr</w:t>
        </w:r>
      </w:hyperlink>
      <w:r w:rsidRPr="003B18E7">
        <w:rPr>
          <w:rFonts w:ascii="Times New Roman" w:hAnsi="Times New Roman" w:cs="Times New Roman"/>
          <w:color w:val="0563C1"/>
          <w:sz w:val="24"/>
          <w:szCs w:val="24"/>
          <w:u w:val="single"/>
        </w:rPr>
        <w:t xml:space="preserve"> </w:t>
      </w:r>
      <w:r w:rsidRPr="003B18E7">
        <w:rPr>
          <w:rFonts w:ascii="Times New Roman" w:hAnsi="Times New Roman" w:cs="Times New Roman"/>
          <w:b/>
          <w:bCs/>
          <w:color w:val="FF0000"/>
          <w:sz w:val="24"/>
          <w:szCs w:val="24"/>
        </w:rPr>
        <w:t xml:space="preserve"> </w:t>
      </w:r>
    </w:p>
    <w:p w14:paraId="79F8901A" w14:textId="77777777" w:rsidR="007C27F7" w:rsidRPr="00831243"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color w:val="000000"/>
          <w:sz w:val="24"/>
          <w:szCs w:val="24"/>
          <w:lang w:val="en-GB"/>
        </w:rPr>
        <w:t xml:space="preserve">World Bank, 2025, </w:t>
      </w:r>
      <w:r w:rsidRPr="00831243">
        <w:rPr>
          <w:rFonts w:ascii="Times New Roman" w:hAnsi="Times New Roman" w:cs="Times New Roman"/>
          <w:i/>
          <w:iCs/>
          <w:color w:val="000000"/>
          <w:sz w:val="24"/>
          <w:szCs w:val="24"/>
          <w:lang w:val="en-GB"/>
        </w:rPr>
        <w:t>Food security update</w:t>
      </w:r>
      <w:r w:rsidRPr="00831243">
        <w:rPr>
          <w:rFonts w:ascii="Times New Roman" w:hAnsi="Times New Roman" w:cs="Times New Roman"/>
          <w:color w:val="000000"/>
          <w:sz w:val="24"/>
          <w:szCs w:val="24"/>
          <w:lang w:val="en-GB"/>
        </w:rPr>
        <w:t xml:space="preserve">. Washington, DC: International Bank for Reconstruction and Development / The World Bank. Available online at:  </w:t>
      </w:r>
      <w:hyperlink r:id="rId91">
        <w:r w:rsidRPr="00831243">
          <w:rPr>
            <w:rFonts w:ascii="Times New Roman" w:hAnsi="Times New Roman" w:cs="Times New Roman"/>
            <w:color w:val="0563C1"/>
            <w:sz w:val="24"/>
            <w:szCs w:val="24"/>
            <w:u w:val="single"/>
            <w:lang w:val="en-GB"/>
          </w:rPr>
          <w:t>https://www.banquemondiale.org/fr/topic/agriculture/brief/food-security-update</w:t>
        </w:r>
      </w:hyperlink>
    </w:p>
    <w:p w14:paraId="4FBD2337"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Ebanda Obougou, T. A., Ateba, F. Y., Ndongo Mindongo, D., Ewodo Mboudou, G., Bon,A. F., &amp; Ombolo, A., 2024, Caractérisations hydrochimique et biologique des eaux souterraines pendant la saison pluvieuse en zone urbanisée des quartiers Ekombité et New- Bell, Ebolowa - Cameroun. </w:t>
      </w:r>
      <w:r w:rsidRPr="003B18E7">
        <w:rPr>
          <w:rFonts w:ascii="Times New Roman" w:hAnsi="Times New Roman" w:cs="Times New Roman"/>
          <w:i/>
          <w:iCs/>
          <w:color w:val="000000"/>
          <w:sz w:val="24"/>
          <w:szCs w:val="24"/>
        </w:rPr>
        <w:t xml:space="preserve">Revue Internationale de la Recherche Scientifique et de l’Innovation </w:t>
      </w:r>
      <w:r w:rsidRPr="003B18E7">
        <w:rPr>
          <w:rFonts w:ascii="Times New Roman" w:hAnsi="Times New Roman" w:cs="Times New Roman"/>
          <w:b/>
          <w:bCs/>
          <w:color w:val="000000"/>
          <w:sz w:val="24"/>
          <w:szCs w:val="24"/>
        </w:rPr>
        <w:t>2</w:t>
      </w:r>
      <w:r w:rsidRPr="003B18E7">
        <w:rPr>
          <w:rFonts w:ascii="Times New Roman" w:hAnsi="Times New Roman" w:cs="Times New Roman"/>
          <w:i/>
          <w:iCs/>
          <w:color w:val="000000"/>
          <w:sz w:val="24"/>
          <w:szCs w:val="24"/>
        </w:rPr>
        <w:t>(6), 1186–1211</w:t>
      </w:r>
      <w:r w:rsidRPr="003B18E7">
        <w:rPr>
          <w:rFonts w:ascii="Times New Roman" w:hAnsi="Times New Roman" w:cs="Times New Roman"/>
          <w:color w:val="000000"/>
          <w:sz w:val="24"/>
          <w:szCs w:val="24"/>
        </w:rPr>
        <w:t xml:space="preserve">. </w:t>
      </w:r>
      <w:hyperlink r:id="rId92">
        <w:r w:rsidRPr="003B18E7">
          <w:rPr>
            <w:rFonts w:ascii="Times New Roman" w:hAnsi="Times New Roman" w:cs="Times New Roman"/>
            <w:color w:val="0563C1"/>
            <w:sz w:val="24"/>
            <w:szCs w:val="24"/>
            <w:u w:val="single"/>
          </w:rPr>
          <w:t>https://doi.org/10.5281/zenodo.14287712</w:t>
        </w:r>
      </w:hyperlink>
      <w:r w:rsidRPr="003B18E7">
        <w:rPr>
          <w:rFonts w:ascii="Times New Roman" w:hAnsi="Times New Roman" w:cs="Times New Roman"/>
          <w:color w:val="000000"/>
          <w:sz w:val="24"/>
          <w:szCs w:val="24"/>
        </w:rPr>
        <w:t xml:space="preserve">   </w:t>
      </w:r>
    </w:p>
    <w:p w14:paraId="25FCD2DE"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rPr>
      </w:pPr>
      <w:r w:rsidRPr="003B18E7">
        <w:rPr>
          <w:rFonts w:ascii="Times New Roman" w:hAnsi="Times New Roman" w:cs="Times New Roman"/>
          <w:color w:val="000000"/>
          <w:sz w:val="24"/>
          <w:szCs w:val="24"/>
        </w:rPr>
        <w:t>Traoré, H., Segda, B. G., &amp; Dipama,  J.-M., 2024, Pollution des eaux souterraines par les nitrates : cas du sous bassin du Massili au Burkina Faso. </w:t>
      </w:r>
      <w:r w:rsidRPr="003B18E7">
        <w:rPr>
          <w:rFonts w:ascii="Times New Roman" w:hAnsi="Times New Roman" w:cs="Times New Roman"/>
          <w:i/>
          <w:iCs/>
          <w:color w:val="000000"/>
          <w:sz w:val="24"/>
          <w:szCs w:val="24"/>
        </w:rPr>
        <w:t>Sciences Naturelles Et Appliquées</w:t>
      </w:r>
      <w:r w:rsidRPr="003B18E7">
        <w:rPr>
          <w:rFonts w:ascii="Times New Roman" w:hAnsi="Times New Roman" w:cs="Times New Roman"/>
          <w:b/>
          <w:bCs/>
          <w:color w:val="000000"/>
          <w:sz w:val="24"/>
          <w:szCs w:val="24"/>
        </w:rPr>
        <w:t> 43</w:t>
      </w:r>
      <w:r w:rsidRPr="003B18E7">
        <w:rPr>
          <w:rFonts w:ascii="Times New Roman" w:hAnsi="Times New Roman" w:cs="Times New Roman"/>
          <w:color w:val="000000"/>
          <w:sz w:val="24"/>
          <w:szCs w:val="24"/>
        </w:rPr>
        <w:t xml:space="preserve">(1), 71–86. Available at: </w:t>
      </w:r>
      <w:hyperlink r:id="rId93">
        <w:r w:rsidRPr="003B18E7">
          <w:rPr>
            <w:rFonts w:ascii="Times New Roman" w:hAnsi="Times New Roman" w:cs="Times New Roman"/>
            <w:color w:val="0563C1"/>
            <w:sz w:val="24"/>
            <w:szCs w:val="24"/>
            <w:u w:val="single"/>
          </w:rPr>
          <w:t>https://revuesciences-techniquesburkina.org/index.php/sciences_naturelles_et_appliquee/article/view/1603</w:t>
        </w:r>
      </w:hyperlink>
    </w:p>
    <w:p w14:paraId="6F3258FA"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color w:val="000000"/>
          <w:sz w:val="24"/>
          <w:szCs w:val="24"/>
          <w:lang w:val="en-GB"/>
        </w:rPr>
        <w:t xml:space="preserve">European Environment Agency (EEA), 2023, </w:t>
      </w:r>
      <w:r w:rsidRPr="00831243">
        <w:rPr>
          <w:rFonts w:ascii="Times New Roman" w:hAnsi="Times New Roman" w:cs="Times New Roman"/>
          <w:i/>
          <w:iCs/>
          <w:color w:val="000000"/>
          <w:sz w:val="24"/>
          <w:szCs w:val="24"/>
          <w:lang w:val="en-GB"/>
        </w:rPr>
        <w:t>How pesticides impact human health and ecosystems in Europe</w:t>
      </w:r>
      <w:r w:rsidRPr="00831243">
        <w:rPr>
          <w:rFonts w:ascii="Times New Roman" w:hAnsi="Times New Roman" w:cs="Times New Roman"/>
          <w:color w:val="000000"/>
          <w:sz w:val="24"/>
          <w:szCs w:val="24"/>
          <w:lang w:val="en-GB"/>
        </w:rPr>
        <w:t xml:space="preserve">. </w:t>
      </w:r>
      <w:r w:rsidRPr="00E439FA">
        <w:rPr>
          <w:rFonts w:ascii="Times New Roman" w:hAnsi="Times New Roman" w:cs="Times New Roman"/>
          <w:color w:val="000000"/>
          <w:sz w:val="24"/>
          <w:szCs w:val="24"/>
          <w:lang w:val="en-GB"/>
        </w:rPr>
        <w:t xml:space="preserve">(Copenhagen: European Environment Agency). </w:t>
      </w:r>
      <w:hyperlink r:id="rId94">
        <w:r w:rsidRPr="00E439FA">
          <w:rPr>
            <w:rFonts w:ascii="Times New Roman" w:hAnsi="Times New Roman" w:cs="Times New Roman"/>
            <w:color w:val="0563C1"/>
            <w:sz w:val="24"/>
            <w:szCs w:val="24"/>
            <w:u w:val="single"/>
            <w:lang w:val="en-GB"/>
          </w:rPr>
          <w:t>https://www.eea.europa.eu/en/analysis/publications/how-pesticides-impact-human-health</w:t>
        </w:r>
      </w:hyperlink>
    </w:p>
    <w:p w14:paraId="798C4FD9"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Chandarrou, A., 2021, </w:t>
      </w:r>
      <w:r w:rsidRPr="003B18E7">
        <w:rPr>
          <w:rFonts w:ascii="Times New Roman" w:hAnsi="Times New Roman" w:cs="Times New Roman"/>
          <w:i/>
          <w:iCs/>
          <w:color w:val="000000"/>
          <w:sz w:val="24"/>
          <w:szCs w:val="24"/>
        </w:rPr>
        <w:t>État des lieux du secteur de recyclage des déchets plastiques agricoles dans la région Souss Massa</w:t>
      </w:r>
      <w:r w:rsidRPr="003B18E7">
        <w:rPr>
          <w:rFonts w:ascii="Times New Roman" w:hAnsi="Times New Roman" w:cs="Times New Roman"/>
          <w:color w:val="000000"/>
          <w:sz w:val="24"/>
          <w:szCs w:val="24"/>
        </w:rPr>
        <w:t xml:space="preserve"> [Report revised, completed, and finalised by AgroTech Souss Massa (Thami Ben Halima, Sanae Touali &amp; Laila Outajer)]. (Agadir: AgroTech Souss Massa / Région Souss Massa). Available at :  </w:t>
      </w:r>
      <w:hyperlink r:id="rId95">
        <w:r w:rsidRPr="003B18E7">
          <w:rPr>
            <w:rFonts w:ascii="Times New Roman" w:hAnsi="Times New Roman" w:cs="Times New Roman"/>
            <w:color w:val="0563C1"/>
            <w:sz w:val="24"/>
            <w:szCs w:val="24"/>
            <w:u w:val="single"/>
          </w:rPr>
          <w:t>https://siredd.environnement.gov.ma/Souss-Massa/Files/Documents/0_Etat-des-lieux%20Dechets-platiques-agricoles-SM.pdf</w:t>
        </w:r>
      </w:hyperlink>
      <w:r w:rsidRPr="003B18E7">
        <w:rPr>
          <w:rFonts w:ascii="Times New Roman" w:hAnsi="Times New Roman" w:cs="Times New Roman"/>
          <w:color w:val="000000"/>
          <w:sz w:val="24"/>
          <w:szCs w:val="24"/>
        </w:rPr>
        <w:t xml:space="preserve">  </w:t>
      </w:r>
    </w:p>
    <w:p w14:paraId="16E040BB"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color w:val="000000"/>
          <w:sz w:val="24"/>
          <w:szCs w:val="24"/>
          <w:lang w:val="en-GB"/>
        </w:rPr>
        <w:t xml:space="preserve">Rosales, C., Márquez, L., Perera, R., &amp; Rojas, H., 2003, Comparative analysis of reactive extrusion of LDPE and LLDPE. </w:t>
      </w:r>
      <w:r w:rsidRPr="003B18E7">
        <w:rPr>
          <w:rFonts w:ascii="Times New Roman" w:hAnsi="Times New Roman" w:cs="Times New Roman"/>
          <w:i/>
          <w:iCs/>
          <w:color w:val="000000"/>
          <w:sz w:val="24"/>
          <w:szCs w:val="24"/>
        </w:rPr>
        <w:t>European Polymer Journal</w:t>
      </w:r>
      <w:r w:rsidRPr="003B18E7">
        <w:rPr>
          <w:rFonts w:ascii="Times New Roman" w:hAnsi="Times New Roman" w:cs="Times New Roman"/>
          <w:b/>
          <w:bCs/>
          <w:color w:val="000000"/>
          <w:sz w:val="24"/>
          <w:szCs w:val="24"/>
        </w:rPr>
        <w:t xml:space="preserve"> 39</w:t>
      </w:r>
      <w:r w:rsidRPr="003B18E7">
        <w:rPr>
          <w:rFonts w:ascii="Times New Roman" w:hAnsi="Times New Roman" w:cs="Times New Roman"/>
          <w:color w:val="000000"/>
          <w:sz w:val="24"/>
          <w:szCs w:val="24"/>
        </w:rPr>
        <w:t xml:space="preserve">(9), 1899‑1915. </w:t>
      </w:r>
      <w:hyperlink r:id="rId96">
        <w:r w:rsidRPr="003B18E7">
          <w:rPr>
            <w:rFonts w:ascii="Times New Roman" w:hAnsi="Times New Roman" w:cs="Times New Roman"/>
            <w:color w:val="0563C1"/>
            <w:sz w:val="24"/>
            <w:szCs w:val="24"/>
            <w:u w:val="single"/>
          </w:rPr>
          <w:t>https://doi.org/10.1016/s0014-3057(03)00109-5</w:t>
        </w:r>
      </w:hyperlink>
    </w:p>
    <w:p w14:paraId="341FF404"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831243">
        <w:rPr>
          <w:rFonts w:ascii="Times New Roman" w:hAnsi="Times New Roman" w:cs="Times New Roman"/>
          <w:color w:val="000000"/>
          <w:sz w:val="24"/>
          <w:szCs w:val="24"/>
          <w:lang w:val="en-GB"/>
        </w:rPr>
        <w:t xml:space="preserve">Gregory, B. H., 2009, </w:t>
      </w:r>
      <w:r w:rsidRPr="00831243">
        <w:rPr>
          <w:rFonts w:ascii="Times New Roman" w:hAnsi="Times New Roman" w:cs="Times New Roman"/>
          <w:i/>
          <w:iCs/>
          <w:color w:val="000000"/>
          <w:sz w:val="24"/>
          <w:szCs w:val="24"/>
          <w:lang w:val="en-GB"/>
        </w:rPr>
        <w:t>Polyethylene film extrusion: A process manual</w:t>
      </w:r>
      <w:r w:rsidRPr="00831243">
        <w:rPr>
          <w:rFonts w:ascii="Times New Roman" w:hAnsi="Times New Roman" w:cs="Times New Roman"/>
          <w:color w:val="000000"/>
          <w:sz w:val="24"/>
          <w:szCs w:val="24"/>
          <w:lang w:val="en-GB"/>
        </w:rPr>
        <w:t xml:space="preserve">. </w:t>
      </w:r>
      <w:r w:rsidRPr="003B18E7">
        <w:rPr>
          <w:rFonts w:ascii="Times New Roman" w:hAnsi="Times New Roman" w:cs="Times New Roman"/>
          <w:color w:val="000000"/>
          <w:sz w:val="24"/>
          <w:szCs w:val="24"/>
        </w:rPr>
        <w:t xml:space="preserve">(Victoria, BC: Trafford Publishing). </w:t>
      </w:r>
    </w:p>
    <w:p w14:paraId="48E10C21"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rPr>
      </w:pPr>
      <w:r w:rsidRPr="00831243">
        <w:rPr>
          <w:rFonts w:ascii="Times New Roman" w:hAnsi="Times New Roman" w:cs="Times New Roman"/>
          <w:color w:val="000000"/>
          <w:sz w:val="24"/>
          <w:szCs w:val="24"/>
          <w:lang w:val="en-GB"/>
        </w:rPr>
        <w:t xml:space="preserve">Louanjli, F. A., Bahlaouan, B., Silkina, A., Radi Benjelloun, G., Boutaleb, F., Tesse, R., El Antri, S., &amp; Boutaleb, N., 2025, </w:t>
      </w:r>
      <w:r w:rsidRPr="00831243">
        <w:rPr>
          <w:rFonts w:ascii="Times New Roman" w:hAnsi="Times New Roman" w:cs="Times New Roman"/>
          <w:i/>
          <w:iCs/>
          <w:color w:val="000000"/>
          <w:sz w:val="24"/>
          <w:szCs w:val="24"/>
          <w:lang w:val="en-GB"/>
        </w:rPr>
        <w:t>Plasticulture film coextruded with essential oils: sustainable protection of salad crops</w:t>
      </w:r>
      <w:r w:rsidRPr="00831243">
        <w:rPr>
          <w:rFonts w:ascii="Times New Roman" w:hAnsi="Times New Roman" w:cs="Times New Roman"/>
          <w:color w:val="000000"/>
          <w:sz w:val="24"/>
          <w:szCs w:val="24"/>
          <w:lang w:val="en-GB"/>
        </w:rPr>
        <w:t xml:space="preserve">. </w:t>
      </w:r>
      <w:r w:rsidRPr="003B18E7">
        <w:rPr>
          <w:rFonts w:ascii="Times New Roman" w:hAnsi="Times New Roman" w:cs="Times New Roman"/>
          <w:i/>
          <w:iCs/>
          <w:color w:val="000000"/>
          <w:sz w:val="24"/>
          <w:szCs w:val="24"/>
        </w:rPr>
        <w:t>International Journal of Environmental Studies</w:t>
      </w:r>
      <w:r w:rsidRPr="003B18E7">
        <w:rPr>
          <w:rFonts w:ascii="Times New Roman" w:hAnsi="Times New Roman" w:cs="Times New Roman"/>
          <w:color w:val="000000"/>
          <w:sz w:val="24"/>
          <w:szCs w:val="24"/>
        </w:rPr>
        <w:t xml:space="preserve"> </w:t>
      </w:r>
      <w:r w:rsidRPr="003B18E7">
        <w:rPr>
          <w:rFonts w:ascii="Times New Roman" w:hAnsi="Times New Roman" w:cs="Times New Roman"/>
          <w:b/>
          <w:bCs/>
          <w:color w:val="000000"/>
          <w:sz w:val="24"/>
          <w:szCs w:val="24"/>
        </w:rPr>
        <w:t>82</w:t>
      </w:r>
      <w:r w:rsidRPr="003B18E7">
        <w:rPr>
          <w:rFonts w:ascii="Times New Roman" w:hAnsi="Times New Roman" w:cs="Times New Roman"/>
          <w:color w:val="000000"/>
          <w:sz w:val="24"/>
          <w:szCs w:val="24"/>
        </w:rPr>
        <w:t xml:space="preserve">(1), 432–447. </w:t>
      </w:r>
      <w:hyperlink r:id="rId97">
        <w:r w:rsidRPr="003B18E7">
          <w:rPr>
            <w:rFonts w:ascii="Times New Roman" w:hAnsi="Times New Roman" w:cs="Times New Roman"/>
            <w:color w:val="0563C1"/>
            <w:sz w:val="24"/>
            <w:szCs w:val="24"/>
            <w:u w:val="single"/>
          </w:rPr>
          <w:t>https://doi.org/10.1080/00207233.2024.2368443</w:t>
        </w:r>
      </w:hyperlink>
    </w:p>
    <w:p w14:paraId="7C9B1D2F"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3B18E7">
        <w:rPr>
          <w:rFonts w:ascii="Times New Roman" w:hAnsi="Times New Roman" w:cs="Times New Roman"/>
          <w:color w:val="000000"/>
          <w:sz w:val="24"/>
          <w:szCs w:val="24"/>
        </w:rPr>
        <w:t xml:space="preserve">Van Heurn, E., &amp; van der Post, K., 2004. </w:t>
      </w:r>
      <w:r w:rsidRPr="003B18E7">
        <w:rPr>
          <w:rFonts w:ascii="Times New Roman" w:hAnsi="Times New Roman" w:cs="Times New Roman"/>
          <w:i/>
          <w:iCs/>
          <w:color w:val="000000"/>
          <w:sz w:val="24"/>
          <w:szCs w:val="24"/>
        </w:rPr>
        <w:t>Agriculture sous abri: Structure, conditions requises et usage des serres sous différents climats</w:t>
      </w:r>
      <w:r w:rsidRPr="003B18E7">
        <w:rPr>
          <w:rFonts w:ascii="Times New Roman" w:hAnsi="Times New Roman" w:cs="Times New Roman"/>
          <w:color w:val="000000"/>
          <w:sz w:val="24"/>
          <w:szCs w:val="24"/>
        </w:rPr>
        <w:t xml:space="preserve"> [Agrodok 23]. </w:t>
      </w:r>
      <w:r w:rsidRPr="00E439FA">
        <w:rPr>
          <w:rFonts w:ascii="Times New Roman" w:hAnsi="Times New Roman" w:cs="Times New Roman"/>
          <w:color w:val="000000"/>
          <w:sz w:val="24"/>
          <w:szCs w:val="24"/>
          <w:lang w:val="en-GB"/>
        </w:rPr>
        <w:t xml:space="preserve">(Wageningen: Fondation Agromisa). Available at : </w:t>
      </w:r>
      <w:hyperlink r:id="rId98">
        <w:r w:rsidRPr="00E439FA">
          <w:rPr>
            <w:rFonts w:ascii="Times New Roman" w:hAnsi="Times New Roman" w:cs="Times New Roman"/>
            <w:color w:val="1155CC"/>
            <w:sz w:val="24"/>
            <w:szCs w:val="24"/>
            <w:u w:val="single"/>
            <w:lang w:val="en-GB"/>
          </w:rPr>
          <w:t>https://cgspace.cgiar.org/bitstreams/ba48eae3-3a2c-469a-a19d-d86b13e5c64c/download</w:t>
        </w:r>
      </w:hyperlink>
      <w:r w:rsidRPr="00E439FA">
        <w:rPr>
          <w:rFonts w:ascii="Times New Roman" w:hAnsi="Times New Roman" w:cs="Times New Roman"/>
          <w:color w:val="000000"/>
          <w:sz w:val="24"/>
          <w:szCs w:val="24"/>
          <w:lang w:val="en-GB"/>
        </w:rPr>
        <w:t xml:space="preserve">  </w:t>
      </w:r>
    </w:p>
    <w:p w14:paraId="65BB940D"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color w:val="000000"/>
          <w:sz w:val="24"/>
          <w:szCs w:val="24"/>
          <w:lang w:val="en-GB"/>
        </w:rPr>
        <w:t>Liu, R., Wang, Z., Ye, H., Li, W., Zong, R., &amp; Tian, X., 2021, Effects of Different Plastic Mulching Film on Soil Hydrothermal Status and Water Utilization by Spring Maize in Northwest China. </w:t>
      </w:r>
      <w:r w:rsidRPr="003B18E7">
        <w:rPr>
          <w:rFonts w:ascii="Times New Roman" w:hAnsi="Times New Roman" w:cs="Times New Roman"/>
          <w:i/>
          <w:iCs/>
          <w:color w:val="000000"/>
          <w:sz w:val="24"/>
          <w:szCs w:val="24"/>
        </w:rPr>
        <w:t>Frontiers In Materials</w:t>
      </w:r>
      <w:r w:rsidRPr="003B18E7">
        <w:rPr>
          <w:rFonts w:ascii="Times New Roman" w:hAnsi="Times New Roman" w:cs="Times New Roman"/>
          <w:b/>
          <w:bCs/>
          <w:color w:val="000000"/>
          <w:sz w:val="24"/>
          <w:szCs w:val="24"/>
        </w:rPr>
        <w:t> 8,</w:t>
      </w:r>
      <w:r w:rsidRPr="003B18E7">
        <w:rPr>
          <w:rFonts w:ascii="Times New Roman" w:hAnsi="Times New Roman" w:cs="Times New Roman"/>
        </w:rPr>
        <w:t xml:space="preserve"> </w:t>
      </w:r>
      <w:r w:rsidRPr="003B18E7">
        <w:rPr>
          <w:rFonts w:ascii="Times New Roman" w:hAnsi="Times New Roman" w:cs="Times New Roman"/>
          <w:color w:val="000000"/>
          <w:sz w:val="24"/>
          <w:szCs w:val="24"/>
        </w:rPr>
        <w:t>774833. </w:t>
      </w:r>
      <w:hyperlink r:id="rId99">
        <w:r w:rsidRPr="003B18E7">
          <w:rPr>
            <w:rFonts w:ascii="Times New Roman" w:hAnsi="Times New Roman" w:cs="Times New Roman"/>
            <w:color w:val="0563C1"/>
            <w:sz w:val="24"/>
            <w:szCs w:val="24"/>
            <w:u w:val="single"/>
          </w:rPr>
          <w:t>https://doi.org/10.3389/fmats.2021.774833</w:t>
        </w:r>
      </w:hyperlink>
      <w:r w:rsidRPr="003B18E7">
        <w:rPr>
          <w:rFonts w:ascii="Times New Roman" w:hAnsi="Times New Roman" w:cs="Times New Roman"/>
          <w:color w:val="000000"/>
          <w:sz w:val="24"/>
          <w:szCs w:val="24"/>
        </w:rPr>
        <w:t xml:space="preserve">   </w:t>
      </w:r>
    </w:p>
    <w:p w14:paraId="682B99DA" w14:textId="3C9AFF1A"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color w:val="000000"/>
          <w:sz w:val="24"/>
          <w:szCs w:val="24"/>
          <w:lang w:val="en-GB"/>
        </w:rPr>
        <w:t xml:space="preserve">Pramanik, P., Bandyopadhyay, K. K., Bhaduri, D., Bhattacharyya, R., &amp; Aggarwal, P., 2015, Effect of mulch on soil thermal regimes – A review. </w:t>
      </w:r>
      <w:r w:rsidRPr="003B18E7">
        <w:rPr>
          <w:rFonts w:ascii="Times New Roman" w:hAnsi="Times New Roman" w:cs="Times New Roman"/>
          <w:i/>
          <w:iCs/>
          <w:color w:val="000000"/>
          <w:sz w:val="24"/>
          <w:szCs w:val="24"/>
        </w:rPr>
        <w:t>International Journal of Agriculture, Environment and Biotechnology</w:t>
      </w:r>
      <w:r w:rsidRPr="003B18E7">
        <w:rPr>
          <w:rFonts w:ascii="Times New Roman" w:hAnsi="Times New Roman" w:cs="Times New Roman"/>
          <w:color w:val="000000"/>
          <w:sz w:val="24"/>
          <w:szCs w:val="24"/>
        </w:rPr>
        <w:t xml:space="preserve">, </w:t>
      </w:r>
      <w:r w:rsidRPr="003B18E7">
        <w:rPr>
          <w:rFonts w:ascii="Times New Roman" w:hAnsi="Times New Roman" w:cs="Times New Roman"/>
          <w:b/>
          <w:bCs/>
          <w:color w:val="000000"/>
          <w:sz w:val="24"/>
          <w:szCs w:val="24"/>
        </w:rPr>
        <w:t>8</w:t>
      </w:r>
      <w:r w:rsidRPr="003B18E7">
        <w:rPr>
          <w:rFonts w:ascii="Times New Roman" w:hAnsi="Times New Roman" w:cs="Times New Roman"/>
          <w:color w:val="000000"/>
          <w:sz w:val="24"/>
          <w:szCs w:val="24"/>
        </w:rPr>
        <w:t xml:space="preserve">(3), 645–658. </w:t>
      </w:r>
      <w:hyperlink r:id="rId100">
        <w:r w:rsidRPr="003B18E7">
          <w:rPr>
            <w:rFonts w:ascii="Times New Roman" w:hAnsi="Times New Roman" w:cs="Times New Roman"/>
            <w:color w:val="0563C1"/>
            <w:sz w:val="24"/>
            <w:szCs w:val="24"/>
            <w:u w:val="single"/>
          </w:rPr>
          <w:t>https://doi.org/10.5958/2230-732X.2015.00072.8</w:t>
        </w:r>
      </w:hyperlink>
    </w:p>
    <w:p w14:paraId="6BBA25F2"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color w:val="000000"/>
          <w:sz w:val="24"/>
          <w:szCs w:val="24"/>
          <w:lang w:val="en-GB"/>
        </w:rPr>
        <w:t>Deschamps, S. S., &amp; Agehara, S., 2019, Metalized-striped Plastic Mulch Reduces Root-zone Temperatures during Establishment and Increases Early-season Yields of Annual Winter Strawberry. </w:t>
      </w:r>
      <w:r w:rsidRPr="003B18E7">
        <w:rPr>
          <w:rFonts w:ascii="Times New Roman" w:hAnsi="Times New Roman" w:cs="Times New Roman"/>
          <w:i/>
          <w:iCs/>
          <w:color w:val="000000"/>
          <w:sz w:val="24"/>
          <w:szCs w:val="24"/>
        </w:rPr>
        <w:t>HortScience</w:t>
      </w:r>
      <w:r w:rsidRPr="003B18E7">
        <w:rPr>
          <w:rFonts w:ascii="Times New Roman" w:hAnsi="Times New Roman" w:cs="Times New Roman"/>
          <w:color w:val="000000"/>
          <w:sz w:val="24"/>
          <w:szCs w:val="24"/>
        </w:rPr>
        <w:t> </w:t>
      </w:r>
      <w:r w:rsidRPr="003B18E7">
        <w:rPr>
          <w:rFonts w:ascii="Times New Roman" w:hAnsi="Times New Roman" w:cs="Times New Roman"/>
          <w:b/>
          <w:bCs/>
          <w:color w:val="000000"/>
          <w:sz w:val="24"/>
          <w:szCs w:val="24"/>
        </w:rPr>
        <w:t>54</w:t>
      </w:r>
      <w:r w:rsidRPr="003B18E7">
        <w:rPr>
          <w:rFonts w:ascii="Times New Roman" w:hAnsi="Times New Roman" w:cs="Times New Roman"/>
          <w:color w:val="000000"/>
          <w:sz w:val="24"/>
          <w:szCs w:val="24"/>
        </w:rPr>
        <w:t>(1), 110-116. </w:t>
      </w:r>
      <w:hyperlink r:id="rId101">
        <w:r w:rsidRPr="003B18E7">
          <w:rPr>
            <w:rFonts w:ascii="Times New Roman" w:hAnsi="Times New Roman" w:cs="Times New Roman"/>
            <w:color w:val="0563C1"/>
            <w:sz w:val="24"/>
            <w:szCs w:val="24"/>
            <w:u w:val="single"/>
          </w:rPr>
          <w:t>https://doi.org/10.21273/hortsci13583-18</w:t>
        </w:r>
      </w:hyperlink>
      <w:r w:rsidRPr="003B18E7">
        <w:rPr>
          <w:rFonts w:ascii="Times New Roman" w:hAnsi="Times New Roman" w:cs="Times New Roman"/>
          <w:color w:val="000000"/>
          <w:sz w:val="24"/>
          <w:szCs w:val="24"/>
        </w:rPr>
        <w:t xml:space="preserve"> </w:t>
      </w:r>
    </w:p>
    <w:p w14:paraId="5F4EA861"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color w:val="000000"/>
          <w:sz w:val="24"/>
          <w:szCs w:val="24"/>
          <w:lang w:val="en-GB"/>
        </w:rPr>
        <w:t>Amare, G., &amp; Desta, B., 2021, Coloured plastic mulches: impact on soil properties and crop productivity. </w:t>
      </w:r>
      <w:r w:rsidRPr="00E439FA">
        <w:rPr>
          <w:rFonts w:ascii="Times New Roman" w:hAnsi="Times New Roman" w:cs="Times New Roman"/>
          <w:i/>
          <w:iCs/>
          <w:color w:val="000000"/>
          <w:sz w:val="24"/>
          <w:szCs w:val="24"/>
          <w:lang w:val="en-GB"/>
        </w:rPr>
        <w:t>Chemical And Biological Technologies In Agriculture</w:t>
      </w:r>
      <w:r w:rsidRPr="00E439FA">
        <w:rPr>
          <w:rFonts w:ascii="Times New Roman" w:hAnsi="Times New Roman" w:cs="Times New Roman"/>
          <w:b/>
          <w:bCs/>
          <w:color w:val="000000"/>
          <w:sz w:val="24"/>
          <w:szCs w:val="24"/>
          <w:lang w:val="en-GB"/>
        </w:rPr>
        <w:t> 8</w:t>
      </w:r>
      <w:r w:rsidRPr="00E439FA">
        <w:rPr>
          <w:rFonts w:ascii="Times New Roman" w:hAnsi="Times New Roman" w:cs="Times New Roman"/>
          <w:color w:val="000000"/>
          <w:sz w:val="24"/>
          <w:szCs w:val="24"/>
          <w:lang w:val="en-GB"/>
        </w:rPr>
        <w:t>(1). </w:t>
      </w:r>
      <w:hyperlink r:id="rId102">
        <w:r w:rsidRPr="00E439FA">
          <w:rPr>
            <w:rFonts w:ascii="Times New Roman" w:hAnsi="Times New Roman" w:cs="Times New Roman"/>
            <w:color w:val="0563C1"/>
            <w:sz w:val="24"/>
            <w:szCs w:val="24"/>
            <w:u w:val="single"/>
            <w:lang w:val="en-GB"/>
          </w:rPr>
          <w:t>https://doi.org/10.1186/s40538-020-00201-8</w:t>
        </w:r>
      </w:hyperlink>
      <w:r w:rsidRPr="00E439FA">
        <w:rPr>
          <w:rFonts w:ascii="Times New Roman" w:hAnsi="Times New Roman" w:cs="Times New Roman"/>
          <w:color w:val="000000"/>
          <w:sz w:val="24"/>
          <w:szCs w:val="24"/>
          <w:lang w:val="en-GB"/>
        </w:rPr>
        <w:t xml:space="preserve"> </w:t>
      </w:r>
    </w:p>
    <w:p w14:paraId="679E67A1"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Frochot, H., &amp; Lévy, G., 1980, Facteurs limitants de la croissance initiale d’une plantation de merisier (</w:t>
      </w:r>
      <w:r w:rsidRPr="003B18E7">
        <w:rPr>
          <w:rFonts w:ascii="Times New Roman" w:hAnsi="Times New Roman" w:cs="Times New Roman"/>
          <w:i/>
          <w:iCs/>
          <w:color w:val="000000"/>
          <w:sz w:val="24"/>
          <w:szCs w:val="24"/>
        </w:rPr>
        <w:t>Prunus avium</w:t>
      </w:r>
      <w:r w:rsidRPr="003B18E7">
        <w:rPr>
          <w:rFonts w:ascii="Times New Roman" w:hAnsi="Times New Roman" w:cs="Times New Roman"/>
          <w:color w:val="000000"/>
          <w:sz w:val="24"/>
          <w:szCs w:val="24"/>
        </w:rPr>
        <w:t xml:space="preserve"> L.) sur rendzine brunifiée. </w:t>
      </w:r>
      <w:r w:rsidRPr="003B18E7">
        <w:rPr>
          <w:rFonts w:ascii="Times New Roman" w:hAnsi="Times New Roman" w:cs="Times New Roman"/>
          <w:i/>
          <w:iCs/>
          <w:color w:val="000000"/>
          <w:sz w:val="24"/>
          <w:szCs w:val="24"/>
        </w:rPr>
        <w:t xml:space="preserve">Annales des sciences forestières, </w:t>
      </w:r>
      <w:r w:rsidRPr="003B18E7">
        <w:rPr>
          <w:rFonts w:ascii="Times New Roman" w:hAnsi="Times New Roman" w:cs="Times New Roman"/>
          <w:b/>
          <w:bCs/>
          <w:color w:val="000000"/>
          <w:sz w:val="24"/>
          <w:szCs w:val="24"/>
        </w:rPr>
        <w:t>37</w:t>
      </w:r>
      <w:r w:rsidRPr="003B18E7">
        <w:rPr>
          <w:rFonts w:ascii="Times New Roman" w:hAnsi="Times New Roman" w:cs="Times New Roman"/>
          <w:color w:val="000000"/>
          <w:sz w:val="24"/>
          <w:szCs w:val="24"/>
        </w:rPr>
        <w:t xml:space="preserve">(3), 239–248. </w:t>
      </w:r>
      <w:hyperlink r:id="rId103">
        <w:r w:rsidRPr="003B18E7">
          <w:rPr>
            <w:rFonts w:ascii="Times New Roman" w:hAnsi="Times New Roman" w:cs="Times New Roman"/>
            <w:color w:val="0563C1"/>
            <w:sz w:val="24"/>
            <w:szCs w:val="24"/>
            <w:u w:val="single"/>
          </w:rPr>
          <w:t>https://doi.org/10.1051/forest:19800305</w:t>
        </w:r>
      </w:hyperlink>
      <w:r w:rsidRPr="003B18E7">
        <w:rPr>
          <w:rFonts w:ascii="Times New Roman" w:hAnsi="Times New Roman" w:cs="Times New Roman"/>
          <w:color w:val="000000"/>
          <w:sz w:val="24"/>
          <w:szCs w:val="24"/>
        </w:rPr>
        <w:t xml:space="preserve"> </w:t>
      </w:r>
    </w:p>
    <w:p w14:paraId="42FA75E3"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Bailly, A., &amp; Drouin, G., 1990, Le paillage plastique dans les reboisements méditerranéens. </w:t>
      </w:r>
      <w:r w:rsidRPr="003B18E7">
        <w:rPr>
          <w:rFonts w:ascii="Times New Roman" w:hAnsi="Times New Roman" w:cs="Times New Roman"/>
          <w:i/>
          <w:iCs/>
          <w:color w:val="000000"/>
          <w:sz w:val="24"/>
          <w:szCs w:val="24"/>
        </w:rPr>
        <w:t>Forêt Méditerranéenne</w:t>
      </w:r>
      <w:r w:rsidRPr="003B18E7">
        <w:rPr>
          <w:rFonts w:ascii="Times New Roman" w:hAnsi="Times New Roman" w:cs="Times New Roman"/>
          <w:b/>
          <w:bCs/>
          <w:color w:val="000000"/>
          <w:sz w:val="24"/>
          <w:szCs w:val="24"/>
        </w:rPr>
        <w:t> 12</w:t>
      </w:r>
      <w:r w:rsidRPr="003B18E7">
        <w:rPr>
          <w:rFonts w:ascii="Times New Roman" w:hAnsi="Times New Roman" w:cs="Times New Roman"/>
          <w:color w:val="000000"/>
          <w:sz w:val="24"/>
          <w:szCs w:val="24"/>
        </w:rPr>
        <w:t xml:space="preserve">(4), 435-436. Available at : </w:t>
      </w:r>
      <w:hyperlink r:id="rId104">
        <w:r w:rsidRPr="003B18E7">
          <w:rPr>
            <w:rFonts w:ascii="Times New Roman" w:hAnsi="Times New Roman" w:cs="Times New Roman"/>
            <w:color w:val="0563C1"/>
            <w:sz w:val="24"/>
            <w:szCs w:val="24"/>
            <w:u w:val="single"/>
          </w:rPr>
          <w:t>https://hal.science/hal-03555844/document</w:t>
        </w:r>
      </w:hyperlink>
      <w:r w:rsidRPr="003B18E7">
        <w:rPr>
          <w:rFonts w:ascii="Times New Roman" w:hAnsi="Times New Roman" w:cs="Times New Roman"/>
          <w:color w:val="000000"/>
          <w:sz w:val="24"/>
          <w:szCs w:val="24"/>
        </w:rPr>
        <w:t xml:space="preserve"> </w:t>
      </w:r>
    </w:p>
    <w:p w14:paraId="1D895C9C" w14:textId="77777777" w:rsidR="007C27F7" w:rsidRPr="00831243"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color w:val="000000"/>
          <w:sz w:val="24"/>
          <w:szCs w:val="24"/>
          <w:lang w:val="en-GB"/>
        </w:rPr>
        <w:t xml:space="preserve">Velandia, M., Smith, A., Wszelaki, A., Galinato, S., &amp; Marsh, T., 2018, </w:t>
      </w:r>
      <w:r w:rsidRPr="00831243">
        <w:rPr>
          <w:rFonts w:ascii="Times New Roman" w:hAnsi="Times New Roman" w:cs="Times New Roman"/>
          <w:i/>
          <w:iCs/>
          <w:color w:val="000000"/>
          <w:sz w:val="24"/>
          <w:szCs w:val="24"/>
          <w:lang w:val="en-GB"/>
        </w:rPr>
        <w:t>The economics of adopting biodegradable plastic mulch films</w:t>
      </w:r>
      <w:r w:rsidRPr="00831243">
        <w:rPr>
          <w:rFonts w:ascii="Times New Roman" w:hAnsi="Times New Roman" w:cs="Times New Roman"/>
          <w:color w:val="000000"/>
          <w:sz w:val="24"/>
          <w:szCs w:val="24"/>
          <w:lang w:val="en-GB"/>
        </w:rPr>
        <w:t xml:space="preserve"> (Publication No. </w:t>
      </w:r>
      <w:r w:rsidRPr="00DC5285">
        <w:rPr>
          <w:rFonts w:ascii="Times New Roman" w:hAnsi="Times New Roman" w:cs="Times New Roman"/>
          <w:color w:val="000000"/>
          <w:sz w:val="24"/>
          <w:szCs w:val="24"/>
          <w:lang w:val="en-GB"/>
        </w:rPr>
        <w:t xml:space="preserve">W 650). </w:t>
      </w:r>
      <w:r w:rsidRPr="00831243">
        <w:rPr>
          <w:rFonts w:ascii="Times New Roman" w:hAnsi="Times New Roman" w:cs="Times New Roman"/>
          <w:color w:val="000000"/>
          <w:sz w:val="24"/>
          <w:szCs w:val="24"/>
          <w:lang w:val="en-GB"/>
        </w:rPr>
        <w:t xml:space="preserve">(Knoxville, TN: University of Tennessee Institute of Agriculture). Available at: </w:t>
      </w:r>
      <w:hyperlink r:id="rId105">
        <w:r w:rsidRPr="00831243">
          <w:rPr>
            <w:rFonts w:ascii="Times New Roman" w:hAnsi="Times New Roman" w:cs="Times New Roman"/>
            <w:color w:val="0563C1"/>
            <w:sz w:val="24"/>
            <w:szCs w:val="24"/>
            <w:u w:val="single"/>
            <w:lang w:val="en-GB"/>
          </w:rPr>
          <w:t>https://ageconsearch.umn.edu/record/302940/files/W650.pdf</w:t>
        </w:r>
      </w:hyperlink>
    </w:p>
    <w:p w14:paraId="39B289AA"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rPr>
      </w:pPr>
      <w:r w:rsidRPr="00E439FA">
        <w:rPr>
          <w:rFonts w:ascii="Times New Roman" w:hAnsi="Times New Roman" w:cs="Times New Roman"/>
          <w:color w:val="000000"/>
          <w:sz w:val="24"/>
          <w:szCs w:val="24"/>
          <w:lang w:val="en-GB"/>
        </w:rPr>
        <w:t>Hao, A., Yin, C., Léonard, A., et Dogot, T., 2024, Cost–benefit analysis of mulch film management and its policy implications in Northern China. </w:t>
      </w:r>
      <w:r w:rsidRPr="003B18E7">
        <w:rPr>
          <w:rFonts w:ascii="Times New Roman" w:hAnsi="Times New Roman" w:cs="Times New Roman"/>
          <w:i/>
          <w:iCs/>
          <w:color w:val="000000"/>
          <w:sz w:val="24"/>
          <w:szCs w:val="24"/>
        </w:rPr>
        <w:t>Agriculture</w:t>
      </w:r>
      <w:r w:rsidRPr="003B18E7">
        <w:rPr>
          <w:rFonts w:ascii="Times New Roman" w:hAnsi="Times New Roman" w:cs="Times New Roman"/>
          <w:b/>
          <w:bCs/>
          <w:color w:val="000000"/>
          <w:sz w:val="24"/>
          <w:szCs w:val="24"/>
        </w:rPr>
        <w:t> 14</w:t>
      </w:r>
      <w:r w:rsidRPr="003B18E7">
        <w:rPr>
          <w:rFonts w:ascii="Times New Roman" w:hAnsi="Times New Roman" w:cs="Times New Roman"/>
          <w:color w:val="000000"/>
          <w:sz w:val="24"/>
          <w:szCs w:val="24"/>
        </w:rPr>
        <w:t xml:space="preserve"> (7), 1081. </w:t>
      </w:r>
      <w:hyperlink r:id="rId106">
        <w:r w:rsidRPr="003B18E7">
          <w:rPr>
            <w:rFonts w:ascii="Times New Roman" w:hAnsi="Times New Roman" w:cs="Times New Roman"/>
            <w:color w:val="0563C1"/>
            <w:sz w:val="24"/>
            <w:szCs w:val="24"/>
            <w:u w:val="single"/>
          </w:rPr>
          <w:t>https://doi.org/10.3390/agriculture14071081</w:t>
        </w:r>
      </w:hyperlink>
    </w:p>
    <w:p w14:paraId="1158130E"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rPr>
      </w:pPr>
      <w:r w:rsidRPr="00E439FA">
        <w:rPr>
          <w:rFonts w:ascii="Times New Roman" w:hAnsi="Times New Roman" w:cs="Times New Roman"/>
          <w:color w:val="000000"/>
          <w:sz w:val="24"/>
          <w:szCs w:val="24"/>
          <w:lang w:val="en-GB"/>
        </w:rPr>
        <w:t>Gheshm, R., &amp; Brown, R. N., 2020, The Effects of Black and White Plastic Mulch on Soil Temperature and Yield of Crisphead Lettuce in Southern New England. </w:t>
      </w:r>
      <w:r w:rsidRPr="003B18E7">
        <w:rPr>
          <w:rFonts w:ascii="Times New Roman" w:hAnsi="Times New Roman" w:cs="Times New Roman"/>
          <w:i/>
          <w:iCs/>
          <w:color w:val="000000"/>
          <w:sz w:val="24"/>
          <w:szCs w:val="24"/>
        </w:rPr>
        <w:t>HortTechnology</w:t>
      </w:r>
      <w:r w:rsidRPr="003B18E7">
        <w:rPr>
          <w:rFonts w:ascii="Times New Roman" w:hAnsi="Times New Roman" w:cs="Times New Roman"/>
          <w:b/>
          <w:bCs/>
          <w:color w:val="000000"/>
          <w:sz w:val="24"/>
          <w:szCs w:val="24"/>
        </w:rPr>
        <w:t> 30</w:t>
      </w:r>
      <w:r w:rsidRPr="003B18E7">
        <w:rPr>
          <w:rFonts w:ascii="Times New Roman" w:hAnsi="Times New Roman" w:cs="Times New Roman"/>
          <w:color w:val="000000"/>
          <w:sz w:val="24"/>
          <w:szCs w:val="24"/>
        </w:rPr>
        <w:t>(6), 781-788</w:t>
      </w:r>
      <w:r w:rsidRPr="003B18E7">
        <w:rPr>
          <w:rFonts w:ascii="Times New Roman" w:hAnsi="Times New Roman" w:cs="Times New Roman"/>
          <w:i/>
          <w:iCs/>
          <w:color w:val="000000"/>
          <w:sz w:val="24"/>
          <w:szCs w:val="24"/>
        </w:rPr>
        <w:t>.</w:t>
      </w:r>
      <w:hyperlink r:id="rId107">
        <w:r w:rsidRPr="003B18E7">
          <w:rPr>
            <w:rFonts w:ascii="Times New Roman" w:hAnsi="Times New Roman" w:cs="Times New Roman"/>
            <w:color w:val="0563C1"/>
            <w:sz w:val="24"/>
            <w:szCs w:val="24"/>
            <w:u w:val="single"/>
          </w:rPr>
          <w:t>https://doi.org/10.21273/horttech04674-20</w:t>
        </w:r>
      </w:hyperlink>
    </w:p>
    <w:p w14:paraId="7ADFC0D2"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color w:val="222222"/>
          <w:sz w:val="24"/>
          <w:szCs w:val="24"/>
          <w:lang w:val="en-GB"/>
        </w:rPr>
        <w:t>Kemble, J. M., Brown, J., &amp; Simonne, E., 1997, Influence of Various Polyethylene Mulch Colors on Growth and Development ofVates' Collards. </w:t>
      </w:r>
      <w:r w:rsidRPr="003B18E7">
        <w:rPr>
          <w:rFonts w:ascii="Times New Roman" w:hAnsi="Times New Roman" w:cs="Times New Roman"/>
          <w:i/>
          <w:iCs/>
          <w:color w:val="222222"/>
          <w:sz w:val="24"/>
          <w:szCs w:val="24"/>
        </w:rPr>
        <w:t>HortScience</w:t>
      </w:r>
      <w:r w:rsidRPr="003B18E7">
        <w:rPr>
          <w:rFonts w:ascii="Times New Roman" w:hAnsi="Times New Roman" w:cs="Times New Roman"/>
          <w:color w:val="222222"/>
          <w:sz w:val="24"/>
          <w:szCs w:val="24"/>
        </w:rPr>
        <w:t>, </w:t>
      </w:r>
      <w:r w:rsidRPr="003B18E7">
        <w:rPr>
          <w:rFonts w:ascii="Times New Roman" w:hAnsi="Times New Roman" w:cs="Times New Roman"/>
          <w:b/>
          <w:bCs/>
          <w:color w:val="222222"/>
          <w:sz w:val="24"/>
          <w:szCs w:val="24"/>
        </w:rPr>
        <w:t>32</w:t>
      </w:r>
      <w:r w:rsidRPr="003B18E7">
        <w:rPr>
          <w:rFonts w:ascii="Times New Roman" w:hAnsi="Times New Roman" w:cs="Times New Roman"/>
          <w:color w:val="222222"/>
          <w:sz w:val="24"/>
          <w:szCs w:val="24"/>
        </w:rPr>
        <w:t xml:space="preserve">(4), 589-606. Available at : </w:t>
      </w:r>
      <w:hyperlink r:id="rId108">
        <w:r w:rsidRPr="003B18E7">
          <w:rPr>
            <w:rFonts w:ascii="Times New Roman" w:hAnsi="Times New Roman" w:cs="Times New Roman"/>
            <w:color w:val="0563C1"/>
            <w:sz w:val="24"/>
            <w:szCs w:val="24"/>
            <w:u w:val="single"/>
          </w:rPr>
          <w:t>https://journals.ashs.org/downloadpdf/view/journals/hortsci/32/4/article-p600D.pdf</w:t>
        </w:r>
      </w:hyperlink>
      <w:r w:rsidRPr="003B18E7">
        <w:rPr>
          <w:rFonts w:ascii="Times New Roman" w:hAnsi="Times New Roman" w:cs="Times New Roman"/>
          <w:color w:val="222222"/>
          <w:sz w:val="24"/>
          <w:szCs w:val="24"/>
        </w:rPr>
        <w:t xml:space="preserve"> </w:t>
      </w:r>
    </w:p>
    <w:p w14:paraId="74F53617" w14:textId="77777777" w:rsidR="007C27F7" w:rsidRPr="00831243"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color w:val="000000"/>
          <w:sz w:val="24"/>
          <w:szCs w:val="24"/>
          <w:lang w:val="en-GB"/>
        </w:rPr>
        <w:t xml:space="preserve">Brandenberger, L., &amp; Shrefler, J., 2016, </w:t>
      </w:r>
      <w:r w:rsidRPr="00831243">
        <w:rPr>
          <w:rFonts w:ascii="Times New Roman" w:hAnsi="Times New Roman" w:cs="Times New Roman"/>
          <w:i/>
          <w:iCs/>
          <w:color w:val="000000"/>
          <w:sz w:val="24"/>
          <w:szCs w:val="24"/>
          <w:lang w:val="en-GB"/>
        </w:rPr>
        <w:t>Use of plastic mulch and row covers in vegetable production</w:t>
      </w:r>
      <w:r w:rsidRPr="00831243">
        <w:rPr>
          <w:rFonts w:ascii="Times New Roman" w:hAnsi="Times New Roman" w:cs="Times New Roman"/>
          <w:color w:val="000000"/>
          <w:sz w:val="24"/>
          <w:szCs w:val="24"/>
          <w:lang w:val="en-GB"/>
        </w:rPr>
        <w:t xml:space="preserve"> (Fact Sheet No. </w:t>
      </w:r>
      <w:r w:rsidRPr="00DC5285">
        <w:rPr>
          <w:rFonts w:ascii="Times New Roman" w:hAnsi="Times New Roman" w:cs="Times New Roman"/>
          <w:color w:val="000000"/>
          <w:sz w:val="24"/>
          <w:szCs w:val="24"/>
          <w:lang w:val="en-GB"/>
        </w:rPr>
        <w:t xml:space="preserve">HLA-6034). </w:t>
      </w:r>
      <w:r w:rsidRPr="00831243">
        <w:rPr>
          <w:rFonts w:ascii="Times New Roman" w:hAnsi="Times New Roman" w:cs="Times New Roman"/>
          <w:color w:val="000000"/>
          <w:sz w:val="24"/>
          <w:szCs w:val="24"/>
          <w:lang w:val="en-GB"/>
        </w:rPr>
        <w:t xml:space="preserve">(Stillwater, OK: Oklahoma State University Extension). Available at: </w:t>
      </w:r>
      <w:hyperlink r:id="rId109">
        <w:r w:rsidRPr="00831243">
          <w:rPr>
            <w:rFonts w:ascii="Times New Roman" w:hAnsi="Times New Roman" w:cs="Times New Roman"/>
            <w:color w:val="0563C1"/>
            <w:sz w:val="24"/>
            <w:szCs w:val="24"/>
            <w:u w:val="single"/>
            <w:lang w:val="en-GB"/>
          </w:rPr>
          <w:t>https://extension.okstate.edu/fact-sheets/use-of-plastic-mulch-and-row-covers-in-vegetable-production.html</w:t>
        </w:r>
      </w:hyperlink>
    </w:p>
    <w:p w14:paraId="7E290FA8"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Haut-Commissariat au Plan (HCP), 2024, </w:t>
      </w:r>
      <w:r w:rsidRPr="003B18E7">
        <w:rPr>
          <w:rFonts w:ascii="Times New Roman" w:hAnsi="Times New Roman" w:cs="Times New Roman"/>
          <w:i/>
          <w:iCs/>
          <w:color w:val="000000"/>
          <w:sz w:val="24"/>
          <w:szCs w:val="24"/>
        </w:rPr>
        <w:t>Recensement général de la population et de l’habitat 2024: Principaux résultats</w:t>
      </w:r>
      <w:r w:rsidRPr="003B18E7">
        <w:rPr>
          <w:rFonts w:ascii="Times New Roman" w:hAnsi="Times New Roman" w:cs="Times New Roman"/>
          <w:color w:val="000000"/>
          <w:sz w:val="24"/>
          <w:szCs w:val="24"/>
        </w:rPr>
        <w:t xml:space="preserve"> [General Census of Population and Housing 2024: Main Results], (Rabat: Haut-Commissariat au Plan). Available at: </w:t>
      </w:r>
      <w:hyperlink r:id="rId110">
        <w:r w:rsidRPr="003B18E7">
          <w:rPr>
            <w:rFonts w:ascii="Times New Roman" w:hAnsi="Times New Roman" w:cs="Times New Roman"/>
            <w:color w:val="0563C1"/>
            <w:sz w:val="24"/>
            <w:szCs w:val="24"/>
            <w:u w:val="single"/>
          </w:rPr>
          <w:t>https://www.hcp.ma/file/242665/</w:t>
        </w:r>
      </w:hyperlink>
    </w:p>
    <w:p w14:paraId="084A9140" w14:textId="77777777" w:rsidR="007C27F7" w:rsidRPr="00831243"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3B18E7">
        <w:rPr>
          <w:rFonts w:ascii="Times New Roman" w:hAnsi="Times New Roman" w:cs="Times New Roman"/>
          <w:color w:val="000000"/>
          <w:sz w:val="24"/>
          <w:szCs w:val="24"/>
        </w:rPr>
        <w:t>Post-2020 Biodiversity Framework – EU Support Project, 2024, Analyse</w:t>
      </w:r>
      <w:r w:rsidRPr="003B18E7">
        <w:rPr>
          <w:rFonts w:ascii="Times New Roman" w:hAnsi="Times New Roman" w:cs="Times New Roman"/>
          <w:i/>
          <w:iCs/>
          <w:color w:val="000000"/>
          <w:sz w:val="24"/>
          <w:szCs w:val="24"/>
        </w:rPr>
        <w:t xml:space="preserve"> du cadre institutionnel, stratégique et des enjeux environnementaux et de biodiversité du secteur agricole au Maroc</w:t>
      </w:r>
      <w:r w:rsidRPr="003B18E7">
        <w:rPr>
          <w:rFonts w:ascii="Times New Roman" w:hAnsi="Times New Roman" w:cs="Times New Roman"/>
          <w:color w:val="000000"/>
          <w:sz w:val="24"/>
          <w:szCs w:val="24"/>
        </w:rPr>
        <w:t xml:space="preserve"> (Paris: Expertise France). </w:t>
      </w:r>
      <w:r w:rsidRPr="00831243">
        <w:rPr>
          <w:rFonts w:ascii="Times New Roman" w:hAnsi="Times New Roman" w:cs="Times New Roman"/>
          <w:color w:val="000000"/>
          <w:sz w:val="24"/>
          <w:szCs w:val="24"/>
          <w:lang w:val="en-GB"/>
        </w:rPr>
        <w:t xml:space="preserve">Available at: </w:t>
      </w:r>
      <w:hyperlink r:id="rId111">
        <w:r w:rsidRPr="00831243">
          <w:rPr>
            <w:rFonts w:ascii="Times New Roman" w:hAnsi="Times New Roman" w:cs="Times New Roman"/>
            <w:color w:val="0563C1"/>
            <w:sz w:val="24"/>
            <w:szCs w:val="24"/>
            <w:u w:val="single"/>
            <w:lang w:val="en-GB"/>
          </w:rPr>
          <w:t>https://4post2020bd.net/wp-content/uploads/2024/10/1.-Analyse-du-secteur-agricole-au-Maroc.pdf</w:t>
        </w:r>
      </w:hyperlink>
      <w:r w:rsidRPr="00831243">
        <w:rPr>
          <w:rFonts w:ascii="Times New Roman" w:hAnsi="Times New Roman" w:cs="Times New Roman"/>
          <w:color w:val="000000"/>
          <w:sz w:val="24"/>
          <w:szCs w:val="24"/>
          <w:lang w:val="en-GB"/>
        </w:rPr>
        <w:t>.</w:t>
      </w:r>
    </w:p>
    <w:p w14:paraId="2FB30969"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color w:val="000000"/>
          <w:sz w:val="24"/>
          <w:szCs w:val="24"/>
          <w:lang w:val="en-GB"/>
        </w:rPr>
        <w:t xml:space="preserve">Benqlilou, C., Dahani, A., Wardi, F. Z. E., &amp; Kitane, M., 2024, Quantitative Study to Assess the Socio-Economic and Environmental Impacts of Implementing the Extended Producer Responsibility (EPR) System for Packaging : Case Study in Morocco. </w:t>
      </w:r>
      <w:r w:rsidRPr="00E439FA">
        <w:rPr>
          <w:rFonts w:ascii="Times New Roman" w:hAnsi="Times New Roman" w:cs="Times New Roman"/>
          <w:i/>
          <w:iCs/>
          <w:color w:val="000000"/>
          <w:sz w:val="24"/>
          <w:szCs w:val="24"/>
          <w:lang w:val="en-GB"/>
        </w:rPr>
        <w:t>The Proceedings of the World Conference on Climate Change and Global Warming</w:t>
      </w:r>
      <w:r w:rsidRPr="00E439FA">
        <w:rPr>
          <w:rFonts w:ascii="Times New Roman" w:hAnsi="Times New Roman" w:cs="Times New Roman"/>
          <w:color w:val="000000"/>
          <w:sz w:val="24"/>
          <w:szCs w:val="24"/>
          <w:lang w:val="en-GB"/>
        </w:rPr>
        <w:t xml:space="preserve"> </w:t>
      </w:r>
      <w:r w:rsidRPr="00E439FA">
        <w:rPr>
          <w:rFonts w:ascii="Times New Roman" w:hAnsi="Times New Roman" w:cs="Times New Roman"/>
          <w:b/>
          <w:bCs/>
          <w:color w:val="000000"/>
          <w:sz w:val="24"/>
          <w:szCs w:val="24"/>
          <w:lang w:val="en-GB"/>
        </w:rPr>
        <w:t>1</w:t>
      </w:r>
      <w:r w:rsidRPr="00E439FA">
        <w:rPr>
          <w:rFonts w:ascii="Times New Roman" w:hAnsi="Times New Roman" w:cs="Times New Roman"/>
          <w:color w:val="000000"/>
          <w:sz w:val="24"/>
          <w:szCs w:val="24"/>
          <w:lang w:val="en-GB"/>
        </w:rPr>
        <w:t xml:space="preserve">(1), 13‑28. </w:t>
      </w:r>
      <w:hyperlink r:id="rId112">
        <w:r w:rsidRPr="003B18E7">
          <w:rPr>
            <w:rFonts w:ascii="Times New Roman" w:hAnsi="Times New Roman" w:cs="Times New Roman"/>
            <w:color w:val="0563C1"/>
            <w:sz w:val="24"/>
            <w:szCs w:val="24"/>
            <w:u w:val="single"/>
          </w:rPr>
          <w:t>https://doi.org/10.33422/ccgconf.v1i1.340</w:t>
        </w:r>
      </w:hyperlink>
      <w:r w:rsidRPr="003B18E7">
        <w:rPr>
          <w:rFonts w:ascii="Times New Roman" w:hAnsi="Times New Roman" w:cs="Times New Roman"/>
          <w:color w:val="000000"/>
          <w:sz w:val="24"/>
          <w:szCs w:val="24"/>
        </w:rPr>
        <w:t xml:space="preserve"> </w:t>
      </w:r>
    </w:p>
    <w:p w14:paraId="027CCDBA"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Lamrani-Jouti, A., 2014, Libéralisation et concurrence : quels impacts sur l’engagement environnemental des entreprises industrielles marocaines ? </w:t>
      </w:r>
      <w:r w:rsidRPr="003B18E7">
        <w:rPr>
          <w:rFonts w:ascii="Times New Roman" w:hAnsi="Times New Roman" w:cs="Times New Roman"/>
          <w:i/>
          <w:iCs/>
          <w:color w:val="000000"/>
          <w:sz w:val="24"/>
          <w:szCs w:val="24"/>
        </w:rPr>
        <w:t>Revue Marocaine de Recherche en Management et Marketing</w:t>
      </w:r>
      <w:r w:rsidRPr="003B18E7">
        <w:rPr>
          <w:rFonts w:ascii="Times New Roman" w:hAnsi="Times New Roman" w:cs="Times New Roman"/>
          <w:color w:val="000000"/>
          <w:sz w:val="24"/>
          <w:szCs w:val="24"/>
        </w:rPr>
        <w:t xml:space="preserve"> </w:t>
      </w:r>
      <w:r w:rsidRPr="003B18E7">
        <w:rPr>
          <w:rFonts w:ascii="Times New Roman" w:hAnsi="Times New Roman" w:cs="Times New Roman"/>
          <w:b/>
          <w:bCs/>
          <w:color w:val="000000"/>
          <w:sz w:val="24"/>
          <w:szCs w:val="24"/>
        </w:rPr>
        <w:t>9-10</w:t>
      </w:r>
      <w:r w:rsidRPr="003B18E7">
        <w:rPr>
          <w:rFonts w:ascii="Times New Roman" w:hAnsi="Times New Roman" w:cs="Times New Roman"/>
          <w:color w:val="000000"/>
          <w:sz w:val="24"/>
          <w:szCs w:val="24"/>
        </w:rPr>
        <w:t xml:space="preserve">, 361-378. Availabe at : </w:t>
      </w:r>
      <w:hyperlink r:id="rId113">
        <w:r w:rsidRPr="003B18E7">
          <w:rPr>
            <w:rFonts w:ascii="Times New Roman" w:hAnsi="Times New Roman" w:cs="Times New Roman"/>
            <w:color w:val="0563C1"/>
            <w:sz w:val="24"/>
            <w:szCs w:val="24"/>
            <w:u w:val="single"/>
          </w:rPr>
          <w:t>https://revues.imist.ma/index.php/REMAREM/article/download/3534/2562</w:t>
        </w:r>
      </w:hyperlink>
    </w:p>
    <w:p w14:paraId="08ECFE1D" w14:textId="77777777" w:rsidR="007C27F7" w:rsidRPr="00831243"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3B18E7">
        <w:rPr>
          <w:rFonts w:ascii="Times New Roman" w:hAnsi="Times New Roman" w:cs="Times New Roman"/>
          <w:color w:val="000000"/>
          <w:sz w:val="24"/>
          <w:szCs w:val="24"/>
        </w:rPr>
        <w:t xml:space="preserve">El Yemli, L., &amp; Bengueddour, R., 2025, </w:t>
      </w:r>
      <w:r w:rsidRPr="003B18E7">
        <w:rPr>
          <w:rFonts w:ascii="Times New Roman" w:hAnsi="Times New Roman" w:cs="Times New Roman"/>
          <w:i/>
          <w:iCs/>
          <w:color w:val="000000"/>
          <w:sz w:val="24"/>
          <w:szCs w:val="24"/>
        </w:rPr>
        <w:t>L’impact du management environnemental sur la performance globale : Cas des entreprises marocaines</w:t>
      </w:r>
      <w:r w:rsidRPr="003B18E7">
        <w:rPr>
          <w:rFonts w:ascii="Times New Roman" w:hAnsi="Times New Roman" w:cs="Times New Roman"/>
          <w:color w:val="000000"/>
          <w:sz w:val="24"/>
          <w:szCs w:val="24"/>
        </w:rPr>
        <w:t xml:space="preserve">. </w:t>
      </w:r>
      <w:r w:rsidRPr="00831243">
        <w:rPr>
          <w:rFonts w:ascii="Times New Roman" w:hAnsi="Times New Roman" w:cs="Times New Roman"/>
          <w:i/>
          <w:iCs/>
          <w:color w:val="000000"/>
          <w:sz w:val="24"/>
          <w:szCs w:val="24"/>
          <w:lang w:val="en-GB"/>
        </w:rPr>
        <w:t>International Journal of Accounting, Finance, Auditing, Management and Economics</w:t>
      </w:r>
      <w:r w:rsidRPr="00831243">
        <w:rPr>
          <w:rFonts w:ascii="Times New Roman" w:hAnsi="Times New Roman" w:cs="Times New Roman"/>
          <w:color w:val="000000"/>
          <w:sz w:val="24"/>
          <w:szCs w:val="24"/>
          <w:lang w:val="en-GB"/>
        </w:rPr>
        <w:t xml:space="preserve"> </w:t>
      </w:r>
      <w:r w:rsidRPr="00831243">
        <w:rPr>
          <w:rFonts w:ascii="Times New Roman" w:hAnsi="Times New Roman" w:cs="Times New Roman"/>
          <w:b/>
          <w:bCs/>
          <w:color w:val="000000"/>
          <w:sz w:val="24"/>
          <w:szCs w:val="24"/>
          <w:lang w:val="en-GB"/>
        </w:rPr>
        <w:t>6</w:t>
      </w:r>
      <w:r w:rsidRPr="00831243">
        <w:rPr>
          <w:rFonts w:ascii="Times New Roman" w:hAnsi="Times New Roman" w:cs="Times New Roman"/>
          <w:color w:val="000000"/>
          <w:sz w:val="24"/>
          <w:szCs w:val="24"/>
          <w:lang w:val="en-GB"/>
        </w:rPr>
        <w:t xml:space="preserve">(6), 255–269. Available at: </w:t>
      </w:r>
      <w:hyperlink r:id="rId114">
        <w:r w:rsidRPr="00831243">
          <w:rPr>
            <w:rFonts w:ascii="Times New Roman" w:hAnsi="Times New Roman" w:cs="Times New Roman"/>
            <w:color w:val="0563C1"/>
            <w:sz w:val="24"/>
            <w:szCs w:val="24"/>
            <w:u w:val="single"/>
            <w:lang w:val="en-GB"/>
          </w:rPr>
          <w:t>https://ijafame.org/index.php/ijafame/article/view/1923</w:t>
        </w:r>
      </w:hyperlink>
    </w:p>
    <w:p w14:paraId="06DD5218"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Alami, H., 2022, L’engagement Environnemental des Entreprises au Maroc Pratiques et Defis. </w:t>
      </w:r>
      <w:r w:rsidRPr="003B18E7">
        <w:rPr>
          <w:rFonts w:ascii="Times New Roman" w:hAnsi="Times New Roman" w:cs="Times New Roman"/>
          <w:i/>
          <w:iCs/>
          <w:color w:val="000000"/>
          <w:sz w:val="24"/>
          <w:szCs w:val="24"/>
        </w:rPr>
        <w:t xml:space="preserve">European Scientific Journal </w:t>
      </w:r>
      <w:r w:rsidRPr="003B18E7">
        <w:rPr>
          <w:rFonts w:ascii="Times New Roman" w:hAnsi="Times New Roman" w:cs="Times New Roman"/>
          <w:b/>
          <w:bCs/>
          <w:color w:val="000000"/>
          <w:sz w:val="24"/>
          <w:szCs w:val="24"/>
        </w:rPr>
        <w:t>18</w:t>
      </w:r>
      <w:r w:rsidRPr="003B18E7">
        <w:rPr>
          <w:rFonts w:ascii="Times New Roman" w:hAnsi="Times New Roman" w:cs="Times New Roman"/>
          <w:color w:val="000000"/>
          <w:sz w:val="24"/>
          <w:szCs w:val="24"/>
        </w:rPr>
        <w:t xml:space="preserve">(25), 73. </w:t>
      </w:r>
      <w:hyperlink r:id="rId115">
        <w:r w:rsidRPr="003B18E7">
          <w:rPr>
            <w:rFonts w:ascii="Times New Roman" w:hAnsi="Times New Roman" w:cs="Times New Roman"/>
            <w:color w:val="0563C1"/>
            <w:sz w:val="24"/>
            <w:szCs w:val="24"/>
            <w:u w:val="single"/>
          </w:rPr>
          <w:t>https://doi.org/10.19044/esj.2022.v18n25p73</w:t>
        </w:r>
      </w:hyperlink>
      <w:r w:rsidRPr="003B18E7">
        <w:rPr>
          <w:rFonts w:ascii="Times New Roman" w:hAnsi="Times New Roman" w:cs="Times New Roman"/>
          <w:color w:val="000000"/>
          <w:sz w:val="24"/>
          <w:szCs w:val="24"/>
        </w:rPr>
        <w:t xml:space="preserve"> </w:t>
      </w:r>
    </w:p>
    <w:p w14:paraId="73A305A0"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color w:val="000000"/>
          <w:sz w:val="24"/>
          <w:szCs w:val="24"/>
          <w:lang w:val="en-GB"/>
        </w:rPr>
        <w:t>Porter, M. E., &amp; Van Der Linde, C., 1995, Toward a New Conception of the Environment-Competitiveness Relationship. </w:t>
      </w:r>
      <w:r w:rsidRPr="003B18E7">
        <w:rPr>
          <w:rFonts w:ascii="Times New Roman" w:hAnsi="Times New Roman" w:cs="Times New Roman"/>
          <w:i/>
          <w:iCs/>
          <w:color w:val="000000"/>
          <w:sz w:val="24"/>
          <w:szCs w:val="24"/>
        </w:rPr>
        <w:t>The Journal of Economic Perspectives</w:t>
      </w:r>
      <w:r w:rsidRPr="003B18E7">
        <w:rPr>
          <w:rFonts w:ascii="Times New Roman" w:hAnsi="Times New Roman" w:cs="Times New Roman"/>
          <w:b/>
          <w:bCs/>
          <w:color w:val="000000"/>
          <w:sz w:val="24"/>
          <w:szCs w:val="24"/>
        </w:rPr>
        <w:t> 9</w:t>
      </w:r>
      <w:r w:rsidRPr="003B18E7">
        <w:rPr>
          <w:rFonts w:ascii="Times New Roman" w:hAnsi="Times New Roman" w:cs="Times New Roman"/>
          <w:color w:val="000000"/>
          <w:sz w:val="24"/>
          <w:szCs w:val="24"/>
        </w:rPr>
        <w:t>(4), 97-118. </w:t>
      </w:r>
      <w:hyperlink r:id="rId116">
        <w:r w:rsidRPr="003B18E7">
          <w:rPr>
            <w:rFonts w:ascii="Times New Roman" w:hAnsi="Times New Roman" w:cs="Times New Roman"/>
            <w:color w:val="0563C1"/>
            <w:sz w:val="24"/>
            <w:szCs w:val="24"/>
            <w:u w:val="single"/>
          </w:rPr>
          <w:t>https://doi.org/10.1257/jep.9.4.97</w:t>
        </w:r>
      </w:hyperlink>
      <w:r w:rsidRPr="003B18E7">
        <w:rPr>
          <w:rFonts w:ascii="Times New Roman" w:hAnsi="Times New Roman" w:cs="Times New Roman"/>
          <w:color w:val="000000"/>
          <w:sz w:val="24"/>
          <w:szCs w:val="24"/>
        </w:rPr>
        <w:t xml:space="preserve"> </w:t>
      </w:r>
    </w:p>
    <w:p w14:paraId="501BAE6F"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color w:val="000000"/>
          <w:sz w:val="24"/>
          <w:szCs w:val="24"/>
        </w:rPr>
        <w:t xml:space="preserve">Benabou, R., 2017, </w:t>
      </w:r>
      <w:r w:rsidRPr="003B18E7">
        <w:rPr>
          <w:rFonts w:ascii="Times New Roman" w:hAnsi="Times New Roman" w:cs="Times New Roman"/>
          <w:i/>
          <w:iCs/>
          <w:color w:val="000000"/>
          <w:sz w:val="24"/>
          <w:szCs w:val="24"/>
        </w:rPr>
        <w:t>Essais de caractérisation des déchets ménagers et assimilés réalisés au Maroc. Coopération Municipale</w:t>
      </w:r>
      <w:r w:rsidRPr="003B18E7">
        <w:rPr>
          <w:rFonts w:ascii="Times New Roman" w:hAnsi="Times New Roman" w:cs="Times New Roman"/>
          <w:color w:val="000000"/>
          <w:sz w:val="24"/>
          <w:szCs w:val="24"/>
        </w:rPr>
        <w:t xml:space="preserve"> – CoMun, Gouvernance locale et participative au Maghreb, avec le soutien de la Direction Générale des Collectivités Locales</w:t>
      </w:r>
      <w:r w:rsidRPr="003B18E7">
        <w:rPr>
          <w:rFonts w:ascii="Times New Roman" w:hAnsi="Times New Roman" w:cs="Times New Roman"/>
          <w:b/>
          <w:bCs/>
          <w:color w:val="000000"/>
          <w:sz w:val="24"/>
          <w:szCs w:val="24"/>
        </w:rPr>
        <w:t>.</w:t>
      </w:r>
      <w:r w:rsidRPr="003B18E7">
        <w:rPr>
          <w:rFonts w:ascii="Times New Roman" w:hAnsi="Times New Roman" w:cs="Times New Roman"/>
          <w:color w:val="000000"/>
          <w:sz w:val="24"/>
          <w:szCs w:val="24"/>
        </w:rPr>
        <w:br/>
      </w:r>
      <w:hyperlink r:id="rId117">
        <w:r w:rsidRPr="003B18E7">
          <w:rPr>
            <w:rFonts w:ascii="Times New Roman" w:hAnsi="Times New Roman" w:cs="Times New Roman"/>
            <w:color w:val="0563C1"/>
            <w:sz w:val="24"/>
            <w:szCs w:val="24"/>
            <w:u w:val="single"/>
          </w:rPr>
          <w:t>https://www.collectivites-territoriales.gov.ma/sites/default/files/pnct/2020-12/REMAGDU_Essais%20de%20caracte%CC%81risation-.pdf</w:t>
        </w:r>
      </w:hyperlink>
    </w:p>
    <w:p w14:paraId="50FFAD11"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lang w:val="en-GB"/>
        </w:rPr>
      </w:pPr>
      <w:r w:rsidRPr="003B18E7">
        <w:rPr>
          <w:rFonts w:ascii="Times New Roman" w:hAnsi="Times New Roman" w:cs="Times New Roman"/>
          <w:sz w:val="24"/>
          <w:szCs w:val="24"/>
        </w:rPr>
        <w:t>Royaume du Maroc – Ministère de l’Intérieur, 2021, Décret</w:t>
      </w:r>
      <w:r w:rsidRPr="003B18E7">
        <w:rPr>
          <w:rFonts w:ascii="Times New Roman" w:hAnsi="Times New Roman" w:cs="Times New Roman"/>
          <w:i/>
          <w:iCs/>
          <w:sz w:val="24"/>
          <w:szCs w:val="24"/>
        </w:rPr>
        <w:t xml:space="preserve"> pris pour l’application de certaines dispositions de la loi n°77-15 portant interdiction de la fabrication, de l’importation, de l’exportation, de la commercialisation et de l’utilisation des sacs en plastique (Rabat : Maroc).</w:t>
      </w:r>
      <w:r w:rsidRPr="003B18E7">
        <w:rPr>
          <w:rFonts w:ascii="Times New Roman" w:hAnsi="Times New Roman" w:cs="Times New Roman"/>
          <w:sz w:val="24"/>
          <w:szCs w:val="24"/>
        </w:rPr>
        <w:t xml:space="preserve"> </w:t>
      </w:r>
      <w:r w:rsidRPr="00E439FA">
        <w:rPr>
          <w:rFonts w:ascii="Times New Roman" w:hAnsi="Times New Roman" w:cs="Times New Roman"/>
          <w:color w:val="000000"/>
          <w:sz w:val="24"/>
          <w:szCs w:val="24"/>
          <w:lang w:val="en-GB"/>
        </w:rPr>
        <w:t xml:space="preserve">Availabe at : </w:t>
      </w:r>
      <w:hyperlink r:id="rId118">
        <w:r w:rsidRPr="00E439FA">
          <w:rPr>
            <w:rFonts w:ascii="Times New Roman" w:hAnsi="Times New Roman" w:cs="Times New Roman"/>
            <w:color w:val="0563C1"/>
            <w:sz w:val="24"/>
            <w:szCs w:val="24"/>
            <w:lang w:val="en-GB"/>
          </w:rPr>
          <w:t>https://www.collectivites-territoriales.gov.ma/sites/default/files/2021-05/D%C3%A9cret%20pris%20pour%20l%27application%20de%20certaine%20dispositions%20de%20la%20n%C2%B0%2077.15%20portant%20interdiction%20de%20la%20fabrication.pdf</w:t>
        </w:r>
      </w:hyperlink>
    </w:p>
    <w:p w14:paraId="7B9F4FB8" w14:textId="77777777" w:rsidR="007C27F7" w:rsidRPr="00831243"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E439FA">
        <w:rPr>
          <w:rFonts w:ascii="Times New Roman" w:hAnsi="Times New Roman" w:cs="Times New Roman"/>
          <w:color w:val="366091"/>
          <w:sz w:val="24"/>
          <w:szCs w:val="24"/>
          <w:lang w:val="en-GB"/>
        </w:rPr>
        <w:t xml:space="preserve"> </w:t>
      </w:r>
      <w:r w:rsidRPr="003B18E7">
        <w:rPr>
          <w:rFonts w:ascii="Times New Roman" w:hAnsi="Times New Roman" w:cs="Times New Roman"/>
          <w:sz w:val="24"/>
          <w:szCs w:val="24"/>
        </w:rPr>
        <w:t>Saber, Y., 2024, Souss-Massa en quête de financements pour la valorisation des déchets plastiques agricoles.  </w:t>
      </w:r>
      <w:r w:rsidRPr="00831243">
        <w:rPr>
          <w:rFonts w:ascii="Times New Roman" w:hAnsi="Times New Roman" w:cs="Times New Roman"/>
          <w:sz w:val="24"/>
          <w:szCs w:val="24"/>
          <w:lang w:val="en-GB"/>
        </w:rPr>
        <w:t xml:space="preserve">Available Online at: </w:t>
      </w:r>
      <w:hyperlink r:id="rId119">
        <w:r w:rsidRPr="00831243">
          <w:rPr>
            <w:rFonts w:ascii="Times New Roman" w:hAnsi="Times New Roman" w:cs="Times New Roman"/>
            <w:color w:val="0563C1"/>
            <w:sz w:val="24"/>
            <w:szCs w:val="24"/>
            <w:u w:val="single"/>
            <w:lang w:val="en-GB"/>
          </w:rPr>
          <w:t>https://leseco.ma/maroc/souss-massa-en-quete-de-financements-pour-la-valorisation-des-dechets-plastiques-agricoles.html</w:t>
        </w:r>
      </w:hyperlink>
    </w:p>
    <w:p w14:paraId="29C25149"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831243">
        <w:rPr>
          <w:rFonts w:ascii="Times New Roman" w:hAnsi="Times New Roman" w:cs="Times New Roman"/>
          <w:color w:val="366091"/>
          <w:sz w:val="24"/>
          <w:szCs w:val="24"/>
          <w:lang w:val="en-GB"/>
        </w:rPr>
        <w:t xml:space="preserve"> </w:t>
      </w:r>
      <w:r w:rsidRPr="00831243">
        <w:rPr>
          <w:rFonts w:ascii="Times New Roman" w:hAnsi="Times New Roman" w:cs="Times New Roman"/>
          <w:sz w:val="24"/>
          <w:szCs w:val="24"/>
          <w:lang w:val="en-GB"/>
        </w:rPr>
        <w:t xml:space="preserve">Oufkir, J., Zerraf, S., &amp; Belaaouad, S., 2023, Valorization of agricultural polyolefin plastic waste in the Kingdom of Morocco through thermal pyrolysis: Influence of thermal parameters on pyrolytic oil yields. </w:t>
      </w:r>
      <w:r w:rsidRPr="003B18E7">
        <w:rPr>
          <w:rFonts w:ascii="Times New Roman" w:hAnsi="Times New Roman" w:cs="Times New Roman"/>
          <w:i/>
          <w:iCs/>
          <w:sz w:val="24"/>
          <w:szCs w:val="24"/>
        </w:rPr>
        <w:t>Scientific African</w:t>
      </w:r>
      <w:r w:rsidRPr="003B18E7">
        <w:rPr>
          <w:rFonts w:ascii="Times New Roman" w:hAnsi="Times New Roman" w:cs="Times New Roman"/>
          <w:sz w:val="24"/>
          <w:szCs w:val="24"/>
        </w:rPr>
        <w:t xml:space="preserve"> </w:t>
      </w:r>
      <w:r w:rsidRPr="003B18E7">
        <w:rPr>
          <w:rFonts w:ascii="Times New Roman" w:hAnsi="Times New Roman" w:cs="Times New Roman"/>
          <w:b/>
          <w:bCs/>
          <w:sz w:val="24"/>
          <w:szCs w:val="24"/>
        </w:rPr>
        <w:t>23</w:t>
      </w:r>
      <w:r w:rsidRPr="003B18E7">
        <w:rPr>
          <w:rFonts w:ascii="Times New Roman" w:hAnsi="Times New Roman" w:cs="Times New Roman"/>
          <w:sz w:val="24"/>
          <w:szCs w:val="24"/>
        </w:rPr>
        <w:t xml:space="preserve">, e01991. </w:t>
      </w:r>
      <w:hyperlink r:id="rId120">
        <w:r w:rsidRPr="003B18E7">
          <w:rPr>
            <w:rFonts w:ascii="Times New Roman" w:hAnsi="Times New Roman" w:cs="Times New Roman"/>
            <w:color w:val="0563C1"/>
            <w:sz w:val="24"/>
            <w:szCs w:val="24"/>
            <w:u w:val="single"/>
          </w:rPr>
          <w:t>https://doi.org/10.1016/j.sciaf.2023.e01991</w:t>
        </w:r>
      </w:hyperlink>
      <w:r w:rsidRPr="003B18E7">
        <w:rPr>
          <w:rFonts w:ascii="Times New Roman" w:hAnsi="Times New Roman" w:cs="Times New Roman"/>
          <w:sz w:val="24"/>
          <w:szCs w:val="24"/>
        </w:rPr>
        <w:t xml:space="preserve"> </w:t>
      </w:r>
    </w:p>
    <w:p w14:paraId="1EB538B6" w14:textId="77777777" w:rsidR="007C27F7" w:rsidRPr="00E439FA"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lang w:val="en-GB"/>
        </w:rPr>
      </w:pPr>
      <w:r w:rsidRPr="00831243">
        <w:rPr>
          <w:rFonts w:ascii="Times New Roman" w:hAnsi="Times New Roman" w:cs="Times New Roman"/>
          <w:sz w:val="24"/>
          <w:szCs w:val="24"/>
          <w:lang w:val="en-GB"/>
        </w:rPr>
        <w:t xml:space="preserve">Acharki, S., Veettil, B. K., &amp; Vizzari, M., 2024, Plastic-covered greenhouses mapping in Morocco with Google Earth Engine: Comparing Sentinel-2 and Landsat-8 data using pixel- and object-based methods. </w:t>
      </w:r>
      <w:r w:rsidRPr="00E439FA">
        <w:rPr>
          <w:rFonts w:ascii="Times New Roman" w:hAnsi="Times New Roman" w:cs="Times New Roman"/>
          <w:i/>
          <w:iCs/>
          <w:sz w:val="24"/>
          <w:szCs w:val="24"/>
          <w:lang w:val="en-GB"/>
        </w:rPr>
        <w:t>Remote Sensing Applications: Society and Environment</w:t>
      </w:r>
      <w:r w:rsidRPr="00E439FA">
        <w:rPr>
          <w:rFonts w:ascii="Times New Roman" w:hAnsi="Times New Roman" w:cs="Times New Roman"/>
          <w:sz w:val="24"/>
          <w:szCs w:val="24"/>
          <w:lang w:val="en-GB"/>
        </w:rPr>
        <w:t xml:space="preserve"> </w:t>
      </w:r>
      <w:r w:rsidRPr="00E439FA">
        <w:rPr>
          <w:rFonts w:ascii="Times New Roman" w:hAnsi="Times New Roman" w:cs="Times New Roman"/>
          <w:b/>
          <w:bCs/>
          <w:sz w:val="24"/>
          <w:szCs w:val="24"/>
          <w:lang w:val="en-GB"/>
        </w:rPr>
        <w:t>34</w:t>
      </w:r>
      <w:r w:rsidRPr="00E439FA">
        <w:rPr>
          <w:rFonts w:ascii="Times New Roman" w:hAnsi="Times New Roman" w:cs="Times New Roman"/>
          <w:sz w:val="24"/>
          <w:szCs w:val="24"/>
          <w:lang w:val="en-GB"/>
        </w:rPr>
        <w:t xml:space="preserve">, 101158. </w:t>
      </w:r>
      <w:hyperlink r:id="rId121">
        <w:r w:rsidRPr="00E439FA">
          <w:rPr>
            <w:rFonts w:ascii="Times New Roman" w:hAnsi="Times New Roman" w:cs="Times New Roman"/>
            <w:color w:val="0563C1"/>
            <w:sz w:val="24"/>
            <w:szCs w:val="24"/>
            <w:lang w:val="en-GB"/>
          </w:rPr>
          <w:t>https://doi.org/10.1016/j.rsase.2024.101158</w:t>
        </w:r>
      </w:hyperlink>
    </w:p>
    <w:p w14:paraId="294D53C4" w14:textId="77777777" w:rsidR="007C27F7" w:rsidRPr="00831243"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lang w:val="en-GB"/>
        </w:rPr>
      </w:pPr>
      <w:r w:rsidRPr="003B18E7">
        <w:rPr>
          <w:rFonts w:ascii="Times New Roman" w:hAnsi="Times New Roman" w:cs="Times New Roman"/>
          <w:sz w:val="24"/>
          <w:szCs w:val="24"/>
        </w:rPr>
        <w:t xml:space="preserve">Comité de la Plasticulture et de l’Agroenvironnement (CPA), 2024, </w:t>
      </w:r>
      <w:r w:rsidRPr="003B18E7">
        <w:rPr>
          <w:rFonts w:ascii="Times New Roman" w:hAnsi="Times New Roman" w:cs="Times New Roman"/>
          <w:i/>
          <w:iCs/>
          <w:sz w:val="24"/>
          <w:szCs w:val="24"/>
        </w:rPr>
        <w:t>Rapport d’activité</w:t>
      </w:r>
      <w:r w:rsidRPr="003B18E7">
        <w:rPr>
          <w:rFonts w:ascii="Times New Roman" w:hAnsi="Times New Roman" w:cs="Times New Roman"/>
          <w:sz w:val="24"/>
          <w:szCs w:val="24"/>
        </w:rPr>
        <w:t xml:space="preserve">. </w:t>
      </w:r>
      <w:r w:rsidRPr="00831243">
        <w:rPr>
          <w:rFonts w:ascii="Times New Roman" w:hAnsi="Times New Roman" w:cs="Times New Roman"/>
          <w:sz w:val="24"/>
          <w:szCs w:val="24"/>
          <w:lang w:val="en-GB"/>
        </w:rPr>
        <w:t xml:space="preserve">Available online at: </w:t>
      </w:r>
      <w:hyperlink r:id="rId122">
        <w:r w:rsidRPr="00831243">
          <w:rPr>
            <w:rFonts w:ascii="Times New Roman" w:hAnsi="Times New Roman" w:cs="Times New Roman"/>
            <w:color w:val="0563C1"/>
            <w:sz w:val="24"/>
            <w:szCs w:val="24"/>
            <w:u w:val="single"/>
            <w:lang w:val="en-GB"/>
          </w:rPr>
          <w:t>https://www.plasticulture.com/wp-content/uploads/2025/09/Rapport-dactivite-2024-VDF.pdf</w:t>
        </w:r>
      </w:hyperlink>
    </w:p>
    <w:p w14:paraId="16936225"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E439FA">
        <w:rPr>
          <w:rFonts w:ascii="Times New Roman" w:hAnsi="Times New Roman" w:cs="Times New Roman"/>
          <w:sz w:val="24"/>
          <w:szCs w:val="24"/>
          <w:lang w:val="en-GB"/>
        </w:rPr>
        <w:t xml:space="preserve">Guo, K., Cao, M., Gu, F., Wu, F., Yang, H., Xu, H., &amp; Hu, Z., 2023, Mechanical properties of metallocene linear low-density polyethylene mulch films correlate with ultraviolet irradiation and film thickness. </w:t>
      </w:r>
      <w:r w:rsidRPr="003B18E7">
        <w:rPr>
          <w:rFonts w:ascii="Times New Roman" w:hAnsi="Times New Roman" w:cs="Times New Roman"/>
          <w:i/>
          <w:iCs/>
          <w:sz w:val="24"/>
          <w:szCs w:val="24"/>
        </w:rPr>
        <w:t>Sustainability</w:t>
      </w:r>
      <w:r w:rsidRPr="003B18E7">
        <w:rPr>
          <w:rFonts w:ascii="Times New Roman" w:hAnsi="Times New Roman" w:cs="Times New Roman"/>
          <w:sz w:val="24"/>
          <w:szCs w:val="24"/>
        </w:rPr>
        <w:t xml:space="preserve"> </w:t>
      </w:r>
      <w:r w:rsidRPr="003B18E7">
        <w:rPr>
          <w:rFonts w:ascii="Times New Roman" w:hAnsi="Times New Roman" w:cs="Times New Roman"/>
          <w:b/>
          <w:bCs/>
          <w:sz w:val="24"/>
          <w:szCs w:val="24"/>
        </w:rPr>
        <w:t>15</w:t>
      </w:r>
      <w:r w:rsidRPr="003B18E7">
        <w:rPr>
          <w:rFonts w:ascii="Times New Roman" w:hAnsi="Times New Roman" w:cs="Times New Roman"/>
          <w:sz w:val="24"/>
          <w:szCs w:val="24"/>
        </w:rPr>
        <w:t xml:space="preserve">(8), 6713. </w:t>
      </w:r>
      <w:hyperlink r:id="rId123">
        <w:r w:rsidRPr="003B18E7">
          <w:rPr>
            <w:rFonts w:ascii="Times New Roman" w:hAnsi="Times New Roman" w:cs="Times New Roman"/>
            <w:color w:val="0563C1"/>
            <w:sz w:val="24"/>
            <w:szCs w:val="24"/>
            <w:u w:val="single"/>
          </w:rPr>
          <w:t>https://doi.org/10.3390/su15086713</w:t>
        </w:r>
      </w:hyperlink>
      <w:r w:rsidRPr="003B18E7">
        <w:rPr>
          <w:rFonts w:ascii="Times New Roman" w:hAnsi="Times New Roman" w:cs="Times New Roman"/>
          <w:sz w:val="24"/>
          <w:szCs w:val="24"/>
        </w:rPr>
        <w:t xml:space="preserve"> </w:t>
      </w:r>
    </w:p>
    <w:p w14:paraId="2F28D40C" w14:textId="77777777"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831243">
        <w:rPr>
          <w:rFonts w:ascii="Times New Roman" w:hAnsi="Times New Roman" w:cs="Times New Roman"/>
          <w:sz w:val="24"/>
          <w:szCs w:val="24"/>
          <w:lang w:val="en-GB"/>
        </w:rPr>
        <w:t xml:space="preserve">Hasegawa, K., Acerbi, M., &amp; Soudi, B., 2024, </w:t>
      </w:r>
      <w:r w:rsidRPr="00831243">
        <w:rPr>
          <w:rFonts w:ascii="Times New Roman" w:hAnsi="Times New Roman" w:cs="Times New Roman"/>
          <w:i/>
          <w:iCs/>
          <w:sz w:val="24"/>
          <w:szCs w:val="24"/>
          <w:lang w:val="en-GB"/>
        </w:rPr>
        <w:t>Plastic-Free Coastline: Addressing Plastic Pollution in Morocco</w:t>
      </w:r>
      <w:r w:rsidRPr="00831243">
        <w:rPr>
          <w:rFonts w:ascii="Times New Roman" w:hAnsi="Times New Roman" w:cs="Times New Roman"/>
          <w:sz w:val="24"/>
          <w:szCs w:val="24"/>
          <w:lang w:val="en-GB"/>
        </w:rPr>
        <w:t xml:space="preserve"> (Maghreb Technical Note No. 10), (Washington, DC: World Bank). .</w:t>
      </w:r>
      <w:hyperlink r:id="rId124">
        <w:r w:rsidRPr="003B18E7">
          <w:rPr>
            <w:rFonts w:ascii="Times New Roman" w:hAnsi="Times New Roman" w:cs="Times New Roman"/>
            <w:color w:val="0563C1"/>
            <w:sz w:val="24"/>
            <w:szCs w:val="24"/>
            <w:u w:val="single"/>
          </w:rPr>
          <w:t>https://thedocs.worldbank.org/en/doc/832824cefe5b2754040b275e545aa085-0280012024/original/Maghreb-Technical-Note-10.pdf</w:t>
        </w:r>
      </w:hyperlink>
    </w:p>
    <w:p w14:paraId="4C5BA973" w14:textId="51B7CC93" w:rsidR="007C27F7" w:rsidRPr="003B18E7"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00000"/>
          <w:sz w:val="24"/>
          <w:szCs w:val="24"/>
        </w:rPr>
      </w:pPr>
      <w:r w:rsidRPr="003B18E7">
        <w:rPr>
          <w:rFonts w:ascii="Times New Roman" w:hAnsi="Times New Roman" w:cs="Times New Roman"/>
          <w:sz w:val="24"/>
          <w:szCs w:val="24"/>
        </w:rPr>
        <w:t xml:space="preserve">Benjilali, M., &amp; Zenasni, M., 2021, L’économie circulaire des déchets plastiques au </w:t>
      </w:r>
      <w:r w:rsidR="00723724" w:rsidRPr="003B18E7">
        <w:rPr>
          <w:rFonts w:ascii="Times New Roman" w:hAnsi="Times New Roman" w:cs="Times New Roman"/>
          <w:sz w:val="24"/>
          <w:szCs w:val="24"/>
        </w:rPr>
        <w:t>Maroc :</w:t>
      </w:r>
      <w:r w:rsidRPr="003B18E7">
        <w:rPr>
          <w:rFonts w:ascii="Times New Roman" w:hAnsi="Times New Roman" w:cs="Times New Roman"/>
          <w:sz w:val="24"/>
          <w:szCs w:val="24"/>
        </w:rPr>
        <w:t xml:space="preserve"> Défis et perspectives. </w:t>
      </w:r>
      <w:r w:rsidRPr="003B18E7">
        <w:rPr>
          <w:rFonts w:ascii="Times New Roman" w:hAnsi="Times New Roman" w:cs="Times New Roman"/>
          <w:i/>
          <w:iCs/>
          <w:sz w:val="24"/>
          <w:szCs w:val="24"/>
        </w:rPr>
        <w:t>Alternatives Managériales Économiques</w:t>
      </w:r>
      <w:r w:rsidRPr="003B18E7">
        <w:rPr>
          <w:rFonts w:ascii="Times New Roman" w:hAnsi="Times New Roman" w:cs="Times New Roman"/>
          <w:sz w:val="24"/>
          <w:szCs w:val="24"/>
        </w:rPr>
        <w:t xml:space="preserve"> </w:t>
      </w:r>
      <w:r w:rsidRPr="003B18E7">
        <w:rPr>
          <w:rFonts w:ascii="Times New Roman" w:hAnsi="Times New Roman" w:cs="Times New Roman"/>
          <w:b/>
          <w:bCs/>
          <w:sz w:val="24"/>
          <w:szCs w:val="24"/>
        </w:rPr>
        <w:t>3</w:t>
      </w:r>
      <w:r w:rsidRPr="003B18E7">
        <w:rPr>
          <w:rFonts w:ascii="Times New Roman" w:hAnsi="Times New Roman" w:cs="Times New Roman"/>
          <w:sz w:val="24"/>
          <w:szCs w:val="24"/>
        </w:rPr>
        <w:t xml:space="preserve">(1), 394–408. </w:t>
      </w:r>
      <w:hyperlink r:id="rId125">
        <w:r w:rsidRPr="003B18E7">
          <w:rPr>
            <w:rFonts w:ascii="Times New Roman" w:hAnsi="Times New Roman" w:cs="Times New Roman"/>
            <w:color w:val="0563C1"/>
            <w:sz w:val="24"/>
            <w:szCs w:val="24"/>
            <w:u w:val="single"/>
          </w:rPr>
          <w:t>https://doi.org/10.48374/IMIST.PRSM/ame-v3i1.24906</w:t>
        </w:r>
      </w:hyperlink>
    </w:p>
    <w:p w14:paraId="7380797D" w14:textId="30ED7345" w:rsidR="00E668F8" w:rsidRDefault="00CF07B0" w:rsidP="00BF79E3">
      <w:pPr>
        <w:numPr>
          <w:ilvl w:val="0"/>
          <w:numId w:val="2"/>
        </w:numPr>
        <w:pBdr>
          <w:top w:val="nil"/>
          <w:left w:val="nil"/>
          <w:bottom w:val="nil"/>
          <w:right w:val="nil"/>
          <w:between w:val="nil"/>
        </w:pBdr>
        <w:spacing w:after="0" w:line="360" w:lineRule="auto"/>
        <w:ind w:left="567" w:hanging="567"/>
        <w:jc w:val="both"/>
        <w:rPr>
          <w:rFonts w:ascii="Times New Roman" w:hAnsi="Times New Roman" w:cs="Times New Roman"/>
          <w:color w:val="0563C1"/>
          <w:sz w:val="24"/>
          <w:szCs w:val="24"/>
          <w:u w:val="single"/>
          <w:lang w:val="en-GB"/>
        </w:rPr>
      </w:pPr>
      <w:r w:rsidRPr="003B18E7">
        <w:rPr>
          <w:rFonts w:ascii="Times New Roman" w:hAnsi="Times New Roman" w:cs="Times New Roman"/>
          <w:sz w:val="24"/>
          <w:szCs w:val="24"/>
        </w:rPr>
        <w:t xml:space="preserve">Ministère de la Transition Énergétique et du Développement Durable – Département du Développement Durable, 2023, </w:t>
      </w:r>
      <w:r w:rsidRPr="003B18E7">
        <w:rPr>
          <w:rFonts w:ascii="Times New Roman" w:hAnsi="Times New Roman" w:cs="Times New Roman"/>
          <w:i/>
          <w:iCs/>
          <w:sz w:val="24"/>
          <w:szCs w:val="24"/>
        </w:rPr>
        <w:t>Responsabilité élargie du producteur au Maroc : état des lieux et perspectives de consolidation</w:t>
      </w:r>
      <w:r w:rsidRPr="003B18E7">
        <w:rPr>
          <w:rFonts w:ascii="Times New Roman" w:hAnsi="Times New Roman" w:cs="Times New Roman"/>
          <w:sz w:val="24"/>
          <w:szCs w:val="24"/>
        </w:rPr>
        <w:t xml:space="preserve">, </w:t>
      </w:r>
      <w:r w:rsidRPr="003B18E7">
        <w:rPr>
          <w:rFonts w:ascii="Times New Roman" w:hAnsi="Times New Roman" w:cs="Times New Roman"/>
          <w:i/>
          <w:iCs/>
          <w:sz w:val="24"/>
          <w:szCs w:val="24"/>
        </w:rPr>
        <w:t>Présentation institutionnelle</w:t>
      </w:r>
      <w:r w:rsidRPr="003B18E7">
        <w:rPr>
          <w:rFonts w:ascii="Times New Roman" w:hAnsi="Times New Roman" w:cs="Times New Roman"/>
          <w:sz w:val="24"/>
          <w:szCs w:val="24"/>
        </w:rPr>
        <w:t xml:space="preserve"> (Marrakech). </w:t>
      </w:r>
      <w:r w:rsidRPr="00E439FA">
        <w:rPr>
          <w:rFonts w:ascii="Times New Roman" w:hAnsi="Times New Roman" w:cs="Times New Roman"/>
          <w:sz w:val="24"/>
          <w:szCs w:val="24"/>
          <w:lang w:val="en-GB"/>
        </w:rPr>
        <w:t>Available online at :</w:t>
      </w:r>
      <w:r w:rsidRPr="00E439FA">
        <w:rPr>
          <w:rFonts w:ascii="Times New Roman" w:hAnsi="Times New Roman" w:cs="Times New Roman"/>
          <w:color w:val="0563C1"/>
          <w:sz w:val="24"/>
          <w:szCs w:val="24"/>
          <w:lang w:val="en-GB"/>
        </w:rPr>
        <w:t xml:space="preserve"> </w:t>
      </w:r>
      <w:hyperlink r:id="rId126">
        <w:r w:rsidRPr="00E439FA">
          <w:rPr>
            <w:rFonts w:ascii="Times New Roman" w:hAnsi="Times New Roman" w:cs="Times New Roman"/>
            <w:color w:val="0563C1"/>
            <w:sz w:val="24"/>
            <w:szCs w:val="24"/>
            <w:u w:val="single"/>
            <w:lang w:val="en-GB"/>
          </w:rPr>
          <w:t>https://toumali.org/system/files/document/session-2-03-current-status-of-circular-economy-and-epr-development-in-morocco.pdf</w:t>
        </w:r>
      </w:hyperlink>
    </w:p>
    <w:p w14:paraId="04AB6070" w14:textId="77777777" w:rsidR="00E668F8" w:rsidRPr="00E668F8" w:rsidRDefault="00E668F8" w:rsidP="00E668F8">
      <w:pPr>
        <w:rPr>
          <w:rFonts w:ascii="Times New Roman" w:hAnsi="Times New Roman" w:cs="Times New Roman"/>
          <w:sz w:val="24"/>
          <w:szCs w:val="24"/>
          <w:lang w:val="en-GB"/>
        </w:rPr>
      </w:pPr>
    </w:p>
    <w:p w14:paraId="286588FD" w14:textId="77777777" w:rsidR="00E668F8" w:rsidRPr="00E668F8" w:rsidRDefault="00E668F8" w:rsidP="00E668F8">
      <w:pPr>
        <w:rPr>
          <w:rFonts w:ascii="Times New Roman" w:hAnsi="Times New Roman" w:cs="Times New Roman"/>
          <w:sz w:val="24"/>
          <w:szCs w:val="24"/>
          <w:lang w:val="en-GB"/>
        </w:rPr>
      </w:pPr>
    </w:p>
    <w:p w14:paraId="278A3A81" w14:textId="77777777" w:rsidR="00E668F8" w:rsidRPr="00E668F8" w:rsidRDefault="00E668F8" w:rsidP="00E668F8">
      <w:pPr>
        <w:rPr>
          <w:rFonts w:ascii="Times New Roman" w:hAnsi="Times New Roman" w:cs="Times New Roman"/>
          <w:sz w:val="24"/>
          <w:szCs w:val="24"/>
          <w:lang w:val="en-GB"/>
        </w:rPr>
      </w:pPr>
    </w:p>
    <w:p w14:paraId="1AC9ADC8" w14:textId="77777777" w:rsidR="00E668F8" w:rsidRPr="00E668F8" w:rsidRDefault="00E668F8" w:rsidP="00E668F8">
      <w:pPr>
        <w:rPr>
          <w:rFonts w:ascii="Times New Roman" w:hAnsi="Times New Roman" w:cs="Times New Roman"/>
          <w:sz w:val="24"/>
          <w:szCs w:val="24"/>
          <w:lang w:val="en-GB"/>
        </w:rPr>
      </w:pPr>
    </w:p>
    <w:p w14:paraId="50966ABA" w14:textId="77777777" w:rsidR="00E668F8" w:rsidRPr="00E668F8" w:rsidRDefault="00E668F8" w:rsidP="00E668F8">
      <w:pPr>
        <w:rPr>
          <w:rFonts w:ascii="Times New Roman" w:hAnsi="Times New Roman" w:cs="Times New Roman"/>
          <w:sz w:val="24"/>
          <w:szCs w:val="24"/>
          <w:lang w:val="en-GB"/>
        </w:rPr>
      </w:pPr>
    </w:p>
    <w:p w14:paraId="6F53DECF" w14:textId="77777777" w:rsidR="00E668F8" w:rsidRPr="00E668F8" w:rsidRDefault="00E668F8" w:rsidP="00E668F8">
      <w:pPr>
        <w:rPr>
          <w:rFonts w:ascii="Times New Roman" w:hAnsi="Times New Roman" w:cs="Times New Roman"/>
          <w:sz w:val="24"/>
          <w:szCs w:val="24"/>
          <w:lang w:val="en-GB"/>
        </w:rPr>
      </w:pPr>
    </w:p>
    <w:p w14:paraId="206BF642" w14:textId="07AB1BFA" w:rsidR="00E668F8" w:rsidRDefault="00E668F8" w:rsidP="00E668F8">
      <w:pPr>
        <w:rPr>
          <w:rFonts w:ascii="Times New Roman" w:hAnsi="Times New Roman" w:cs="Times New Roman"/>
          <w:sz w:val="24"/>
          <w:szCs w:val="24"/>
          <w:lang w:val="en-GB"/>
        </w:rPr>
      </w:pPr>
    </w:p>
    <w:p w14:paraId="4A5CFD58" w14:textId="287E651C" w:rsidR="007C27F7" w:rsidRPr="00E668F8" w:rsidRDefault="00E668F8" w:rsidP="00E668F8">
      <w:pPr>
        <w:tabs>
          <w:tab w:val="left" w:pos="5696"/>
        </w:tabs>
        <w:rPr>
          <w:rFonts w:ascii="Times New Roman" w:hAnsi="Times New Roman" w:cs="Times New Roman"/>
          <w:sz w:val="24"/>
          <w:szCs w:val="24"/>
          <w:lang w:val="en-GB"/>
        </w:rPr>
      </w:pPr>
      <w:r>
        <w:rPr>
          <w:rFonts w:ascii="Times New Roman" w:hAnsi="Times New Roman" w:cs="Times New Roman"/>
          <w:sz w:val="24"/>
          <w:szCs w:val="24"/>
          <w:lang w:val="en-GB"/>
        </w:rPr>
        <w:tab/>
      </w:r>
    </w:p>
    <w:sectPr w:rsidR="007C27F7" w:rsidRPr="00E668F8" w:rsidSect="00A662D8">
      <w:headerReference w:type="default" r:id="rId127"/>
      <w:headerReference w:type="first" r:id="rId128"/>
      <w:pgSz w:w="11906" w:h="16838"/>
      <w:pgMar w:top="696" w:right="1274" w:bottom="1418" w:left="1418" w:header="142"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B47D4" w14:textId="77777777" w:rsidR="00FB1A00" w:rsidRDefault="00FB1A00">
      <w:pPr>
        <w:spacing w:after="0" w:line="240" w:lineRule="auto"/>
      </w:pPr>
      <w:r>
        <w:separator/>
      </w:r>
    </w:p>
  </w:endnote>
  <w:endnote w:type="continuationSeparator" w:id="0">
    <w:p w14:paraId="3C910689" w14:textId="77777777" w:rsidR="00FB1A00" w:rsidRDefault="00FB1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F84655A3-94FA-450B-A78E-2A152CA6243E}"/>
    <w:embedBold r:id="rId2" w:fontKey="{104D66C5-0D6B-4ACF-BCD5-8A8367A8C9A5}"/>
    <w:embedItalic r:id="rId3" w:fontKey="{FFCAEAEF-600D-496C-AD4B-5B3D43E3768D}"/>
    <w:embedBoldItalic r:id="rId4" w:fontKey="{94085745-D928-4970-AC92-2B72C935923A}"/>
  </w:font>
  <w:font w:name="Georgia">
    <w:panose1 w:val="02040502050405020303"/>
    <w:charset w:val="00"/>
    <w:family w:val="roman"/>
    <w:pitch w:val="variable"/>
    <w:sig w:usb0="00000287" w:usb1="00000000" w:usb2="00000000" w:usb3="00000000" w:csb0="0000009F" w:csb1="00000000"/>
    <w:embedItalic r:id="rId5" w:fontKey="{938B7E2F-B15B-4A1B-A3B9-0C721A56E88D}"/>
  </w:font>
  <w:font w:name="AdvGulliv-R">
    <w:altName w:val="Arial Unicode MS"/>
    <w:panose1 w:val="00000000000000000000"/>
    <w:charset w:val="80"/>
    <w:family w:val="auto"/>
    <w:notTrueType/>
    <w:pitch w:val="default"/>
    <w:sig w:usb0="00000005" w:usb1="08070000" w:usb2="00000010" w:usb3="00000000" w:csb0="00020002"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embedBold r:id="rId6" w:fontKey="{4F3B8BEC-3D56-4650-B85A-25368D842329}"/>
  </w:font>
  <w:font w:name="Garamond">
    <w:panose1 w:val="02020404030301010803"/>
    <w:charset w:val="00"/>
    <w:family w:val="roman"/>
    <w:pitch w:val="variable"/>
    <w:sig w:usb0="00000287" w:usb1="00000000" w:usb2="00000000" w:usb3="00000000" w:csb0="0000009F" w:csb1="00000000"/>
    <w:embedBold r:id="rId7" w:fontKey="{68177324-EF8B-40F6-9110-6523DF2CCCE9}"/>
  </w:font>
  <w:font w:name="Cambria">
    <w:panose1 w:val="02040503050406030204"/>
    <w:charset w:val="00"/>
    <w:family w:val="roman"/>
    <w:pitch w:val="variable"/>
    <w:sig w:usb0="E00006FF" w:usb1="420024FF" w:usb2="02000000" w:usb3="00000000" w:csb0="0000019F" w:csb1="00000000"/>
    <w:embedRegular r:id="rId8" w:fontKey="{D75DCCE2-7E0A-4BF3-87E4-1163EEC9A46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9B4D0" w14:textId="77777777" w:rsidR="00D30904" w:rsidRDefault="00D3090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C5946" w14:textId="07AF18E4" w:rsidR="00E668F8" w:rsidRPr="00E668F8" w:rsidRDefault="00E668F8">
    <w:pPr>
      <w:pStyle w:val="Pieddepage"/>
      <w:jc w:val="center"/>
      <w:rPr>
        <w:rFonts w:asciiTheme="majorBidi" w:hAnsiTheme="majorBidi" w:cstheme="majorBidi"/>
        <w:caps/>
        <w:color w:val="4F81BD" w:themeColor="accent1"/>
      </w:rPr>
    </w:pPr>
    <w:r w:rsidRPr="00E668F8">
      <w:rPr>
        <w:rFonts w:asciiTheme="majorBidi" w:hAnsiTheme="majorBidi" w:cstheme="majorBidi"/>
        <w:caps/>
        <w:color w:val="4F81BD" w:themeColor="accent1"/>
      </w:rPr>
      <w:fldChar w:fldCharType="begin"/>
    </w:r>
    <w:r w:rsidRPr="00E668F8">
      <w:rPr>
        <w:rFonts w:asciiTheme="majorBidi" w:hAnsiTheme="majorBidi" w:cstheme="majorBidi"/>
        <w:caps/>
        <w:color w:val="4F81BD" w:themeColor="accent1"/>
      </w:rPr>
      <w:instrText>PAGE   \* MERGEFORMAT</w:instrText>
    </w:r>
    <w:r w:rsidRPr="00E668F8">
      <w:rPr>
        <w:rFonts w:asciiTheme="majorBidi" w:hAnsiTheme="majorBidi" w:cstheme="majorBidi"/>
        <w:caps/>
        <w:color w:val="4F81BD" w:themeColor="accent1"/>
      </w:rPr>
      <w:fldChar w:fldCharType="separate"/>
    </w:r>
    <w:r w:rsidR="00CA044F">
      <w:rPr>
        <w:rFonts w:asciiTheme="majorBidi" w:hAnsiTheme="majorBidi" w:cstheme="majorBidi"/>
        <w:caps/>
        <w:noProof/>
        <w:color w:val="4F81BD" w:themeColor="accent1"/>
      </w:rPr>
      <w:t>91</w:t>
    </w:r>
    <w:r w:rsidRPr="00E668F8">
      <w:rPr>
        <w:rFonts w:asciiTheme="majorBidi" w:hAnsiTheme="majorBidi" w:cstheme="majorBidi"/>
        <w:caps/>
        <w:color w:val="4F81BD" w:themeColor="accent1"/>
      </w:rPr>
      <w:fldChar w:fldCharType="end"/>
    </w:r>
  </w:p>
  <w:p w14:paraId="6D5DB485" w14:textId="77777777" w:rsidR="00D30904" w:rsidRDefault="00D30904">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8C584" w14:textId="70768526" w:rsidR="00E668F8" w:rsidRPr="00E668F8" w:rsidRDefault="00E668F8">
    <w:pPr>
      <w:pStyle w:val="Pieddepage"/>
      <w:jc w:val="center"/>
      <w:rPr>
        <w:rFonts w:asciiTheme="majorBidi" w:hAnsiTheme="majorBidi" w:cstheme="majorBidi"/>
        <w:caps/>
        <w:color w:val="4F81BD" w:themeColor="accent1"/>
        <w:sz w:val="24"/>
        <w:szCs w:val="24"/>
      </w:rPr>
    </w:pPr>
    <w:r w:rsidRPr="00E668F8">
      <w:rPr>
        <w:rFonts w:asciiTheme="majorBidi" w:hAnsiTheme="majorBidi" w:cstheme="majorBidi"/>
        <w:caps/>
        <w:color w:val="4F81BD" w:themeColor="accent1"/>
        <w:sz w:val="24"/>
        <w:szCs w:val="24"/>
      </w:rPr>
      <w:fldChar w:fldCharType="begin"/>
    </w:r>
    <w:r w:rsidRPr="00E668F8">
      <w:rPr>
        <w:rFonts w:asciiTheme="majorBidi" w:hAnsiTheme="majorBidi" w:cstheme="majorBidi"/>
        <w:caps/>
        <w:color w:val="4F81BD" w:themeColor="accent1"/>
        <w:sz w:val="24"/>
        <w:szCs w:val="24"/>
      </w:rPr>
      <w:instrText>PAGE   \* MERGEFORMAT</w:instrText>
    </w:r>
    <w:r w:rsidRPr="00E668F8">
      <w:rPr>
        <w:rFonts w:asciiTheme="majorBidi" w:hAnsiTheme="majorBidi" w:cstheme="majorBidi"/>
        <w:caps/>
        <w:color w:val="4F81BD" w:themeColor="accent1"/>
        <w:sz w:val="24"/>
        <w:szCs w:val="24"/>
      </w:rPr>
      <w:fldChar w:fldCharType="separate"/>
    </w:r>
    <w:r w:rsidR="00FB1A00">
      <w:rPr>
        <w:rFonts w:asciiTheme="majorBidi" w:hAnsiTheme="majorBidi" w:cstheme="majorBidi"/>
        <w:caps/>
        <w:noProof/>
        <w:color w:val="4F81BD" w:themeColor="accent1"/>
        <w:sz w:val="24"/>
        <w:szCs w:val="24"/>
      </w:rPr>
      <w:t>78</w:t>
    </w:r>
    <w:r w:rsidRPr="00E668F8">
      <w:rPr>
        <w:rFonts w:asciiTheme="majorBidi" w:hAnsiTheme="majorBidi" w:cstheme="majorBidi"/>
        <w:caps/>
        <w:color w:val="4F81BD" w:themeColor="accent1"/>
        <w:sz w:val="24"/>
        <w:szCs w:val="24"/>
      </w:rPr>
      <w:fldChar w:fldCharType="end"/>
    </w:r>
  </w:p>
  <w:p w14:paraId="401D406A" w14:textId="77777777" w:rsidR="00E668F8" w:rsidRDefault="00E668F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A1A65" w14:textId="77777777" w:rsidR="00FB1A00" w:rsidRDefault="00FB1A00">
      <w:pPr>
        <w:spacing w:after="0" w:line="240" w:lineRule="auto"/>
      </w:pPr>
      <w:r>
        <w:separator/>
      </w:r>
    </w:p>
  </w:footnote>
  <w:footnote w:type="continuationSeparator" w:id="0">
    <w:p w14:paraId="05CB8F9F" w14:textId="77777777" w:rsidR="00FB1A00" w:rsidRDefault="00FB1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C82E6" w14:textId="77777777" w:rsidR="00D30904" w:rsidRDefault="00D3090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7F6EE" w14:textId="44422821" w:rsidR="00D30904" w:rsidRPr="00BE717C" w:rsidRDefault="00FB1A00" w:rsidP="003E0761">
    <w:pPr>
      <w:pBdr>
        <w:bottom w:val="single" w:sz="8" w:space="1" w:color="002060"/>
      </w:pBdr>
      <w:ind w:right="49"/>
      <w:rPr>
        <w:rFonts w:asciiTheme="majorBidi" w:hAnsiTheme="majorBidi" w:cstheme="majorBidi"/>
        <w:i/>
        <w:iCs/>
      </w:rPr>
    </w:pPr>
    <w:hyperlink r:id="rId1" w:history="1">
      <w:r w:rsidR="00D30904" w:rsidRPr="00BE717C">
        <w:rPr>
          <w:rFonts w:asciiTheme="majorBidi" w:hAnsiTheme="majorBidi" w:cstheme="majorBidi"/>
          <w:b/>
          <w:bCs/>
          <w:i/>
          <w:iCs/>
          <w:color w:val="000099"/>
        </w:rPr>
        <w:t>Louanjli</w:t>
      </w:r>
    </w:hyperlink>
    <w:r w:rsidR="00D30904" w:rsidRPr="00BE717C">
      <w:rPr>
        <w:rFonts w:asciiTheme="majorBidi" w:hAnsiTheme="majorBidi" w:cstheme="majorBidi"/>
        <w:b/>
        <w:bCs/>
        <w:i/>
        <w:iCs/>
        <w:color w:val="000099"/>
      </w:rPr>
      <w:t xml:space="preserve"> et al.</w:t>
    </w:r>
    <w:r w:rsidR="00D30904" w:rsidRPr="00BE717C">
      <w:rPr>
        <w:rFonts w:asciiTheme="majorBidi" w:hAnsiTheme="majorBidi" w:cstheme="majorBidi"/>
        <w:b/>
        <w:bCs/>
        <w:i/>
        <w:iCs/>
        <w:color w:val="002060"/>
      </w:rPr>
      <w:tab/>
    </w:r>
    <w:r w:rsidR="00D30904" w:rsidRPr="00BE717C">
      <w:rPr>
        <w:rFonts w:asciiTheme="majorBidi" w:hAnsiTheme="majorBidi" w:cstheme="majorBidi"/>
        <w:b/>
        <w:bCs/>
        <w:i/>
        <w:iCs/>
      </w:rPr>
      <w:t xml:space="preserve">                              </w:t>
    </w:r>
    <w:r w:rsidR="00BE717C">
      <w:rPr>
        <w:rFonts w:asciiTheme="majorBidi" w:hAnsiTheme="majorBidi" w:cstheme="majorBidi"/>
        <w:b/>
        <w:bCs/>
        <w:i/>
        <w:iCs/>
      </w:rPr>
      <w:t xml:space="preserve">      </w:t>
    </w:r>
    <w:r w:rsidR="00D30904" w:rsidRPr="00BE717C">
      <w:rPr>
        <w:rFonts w:asciiTheme="majorBidi" w:hAnsiTheme="majorBidi" w:cstheme="majorBidi"/>
        <w:b/>
        <w:bCs/>
        <w:i/>
        <w:iCs/>
      </w:rPr>
      <w:t xml:space="preserve">    </w:t>
    </w:r>
    <w:r w:rsidR="00D30904" w:rsidRPr="00BE717C">
      <w:rPr>
        <w:rFonts w:asciiTheme="majorBidi" w:hAnsiTheme="majorBidi" w:cstheme="majorBidi"/>
        <w:i/>
        <w:iCs/>
      </w:rPr>
      <w:t>Natural Built Social Environment Health</w:t>
    </w:r>
    <w:r w:rsidR="00D30904" w:rsidRPr="00BE717C">
      <w:rPr>
        <w:rFonts w:asciiTheme="majorBidi" w:hAnsiTheme="majorBidi" w:cstheme="majorBidi"/>
      </w:rPr>
      <w:t xml:space="preserve"> </w:t>
    </w:r>
    <w:r w:rsidR="00D30904" w:rsidRPr="00BE717C">
      <w:rPr>
        <w:rFonts w:asciiTheme="majorBidi" w:hAnsiTheme="majorBidi" w:cstheme="majorBidi"/>
        <w:b/>
        <w:bCs/>
      </w:rPr>
      <w:t>2</w:t>
    </w:r>
    <w:r w:rsidR="00D30904" w:rsidRPr="00BE717C">
      <w:rPr>
        <w:rFonts w:asciiTheme="majorBidi" w:hAnsiTheme="majorBidi" w:cstheme="majorBidi"/>
      </w:rPr>
      <w:t>(2) 2026</w:t>
    </w:r>
    <w:r w:rsidR="00E668F8" w:rsidRPr="00BE717C">
      <w:rPr>
        <w:rFonts w:asciiTheme="majorBidi" w:hAnsiTheme="majorBidi" w:cstheme="majorBidi"/>
      </w:rPr>
      <w:t> :</w:t>
    </w:r>
    <w:r w:rsidR="003E0761" w:rsidRPr="00BE717C">
      <w:rPr>
        <w:rFonts w:asciiTheme="majorBidi" w:hAnsiTheme="majorBidi" w:cstheme="majorBidi"/>
      </w:rPr>
      <w:t xml:space="preserve"> 78-103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B83DB" w14:textId="67171C00" w:rsidR="00D30904" w:rsidRPr="00831243" w:rsidRDefault="00D30904" w:rsidP="003E0761">
    <w:pPr>
      <w:spacing w:after="0" w:line="360" w:lineRule="auto"/>
      <w:rPr>
        <w:rFonts w:ascii="Times New Roman" w:hAnsi="Times New Roman" w:cs="Times New Roman"/>
        <w:color w:val="0000FF"/>
        <w:sz w:val="20"/>
        <w:szCs w:val="20"/>
        <w:lang w:val="en-GB"/>
      </w:rPr>
    </w:pPr>
    <w:bookmarkStart w:id="8" w:name="_tvy5wjysmtsb" w:colFirst="0" w:colLast="0"/>
    <w:bookmarkEnd w:id="8"/>
    <w:r w:rsidRPr="00831243">
      <w:rPr>
        <w:rFonts w:ascii="Times New Roman" w:hAnsi="Times New Roman" w:cs="Times New Roman"/>
        <w:i/>
        <w:iCs/>
        <w:sz w:val="20"/>
        <w:szCs w:val="20"/>
        <w:lang w:val="en-GB"/>
      </w:rPr>
      <w:t>Natural Built Social Environment Health</w:t>
    </w:r>
    <w:r w:rsidRPr="00831243">
      <w:rPr>
        <w:rFonts w:ascii="Times New Roman" w:hAnsi="Times New Roman" w:cs="Times New Roman"/>
        <w:sz w:val="20"/>
        <w:szCs w:val="20"/>
        <w:lang w:val="en-GB"/>
      </w:rPr>
      <w:t xml:space="preserve"> </w:t>
    </w:r>
    <w:r w:rsidRPr="00831243">
      <w:rPr>
        <w:rFonts w:ascii="Times New Roman" w:hAnsi="Times New Roman" w:cs="Times New Roman"/>
        <w:b/>
        <w:bCs/>
        <w:sz w:val="20"/>
        <w:szCs w:val="20"/>
        <w:lang w:val="en-GB"/>
      </w:rPr>
      <w:t>2</w:t>
    </w:r>
    <w:r w:rsidRPr="00831243">
      <w:rPr>
        <w:rFonts w:ascii="Times New Roman" w:hAnsi="Times New Roman" w:cs="Times New Roman"/>
        <w:sz w:val="20"/>
        <w:szCs w:val="20"/>
        <w:lang w:val="en-GB"/>
      </w:rPr>
      <w:t>(2) 2026</w:t>
    </w:r>
    <w:r w:rsidR="003E0761">
      <w:rPr>
        <w:rFonts w:ascii="Times New Roman" w:hAnsi="Times New Roman" w:cs="Times New Roman"/>
        <w:sz w:val="20"/>
        <w:szCs w:val="20"/>
        <w:lang w:val="en-GB"/>
      </w:rPr>
      <w:t xml:space="preserve">: 78-103 </w:t>
    </w:r>
    <w:r w:rsidRPr="00831243">
      <w:rPr>
        <w:rFonts w:ascii="Times New Roman" w:hAnsi="Times New Roman" w:cs="Times New Roman"/>
        <w:sz w:val="20"/>
        <w:szCs w:val="20"/>
        <w:lang w:val="en-GB"/>
      </w:rPr>
      <w:t xml:space="preserve">                              </w:t>
    </w:r>
    <w:r w:rsidRPr="00831243">
      <w:rPr>
        <w:rFonts w:ascii="Times New Roman" w:hAnsi="Times New Roman" w:cs="Times New Roman"/>
        <w:color w:val="0000FF"/>
        <w:sz w:val="20"/>
        <w:szCs w:val="20"/>
        <w:lang w:val="en-GB"/>
      </w:rPr>
      <w:t xml:space="preserve">DOI: </w:t>
    </w:r>
    <w:hyperlink r:id="rId1" w:history="1">
      <w:r w:rsidRPr="00902F92">
        <w:rPr>
          <w:rStyle w:val="Lienhypertexte"/>
          <w:rFonts w:ascii="Times New Roman" w:hAnsi="Times New Roman" w:cs="Times New Roman"/>
          <w:sz w:val="20"/>
          <w:szCs w:val="20"/>
          <w:u w:val="none"/>
          <w:lang w:val="en-GB"/>
        </w:rPr>
        <w:t>10.63095/NBSEH.26.787520</w:t>
      </w:r>
    </w:hyperlink>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EAB7D" w14:textId="3E52550D" w:rsidR="00515DD1" w:rsidRPr="00BE717C" w:rsidRDefault="00FB1A00" w:rsidP="003E0761">
    <w:pPr>
      <w:pBdr>
        <w:bottom w:val="single" w:sz="8" w:space="1" w:color="002060"/>
      </w:pBdr>
      <w:ind w:right="49"/>
      <w:rPr>
        <w:rFonts w:asciiTheme="majorBidi" w:hAnsiTheme="majorBidi" w:cstheme="majorBidi"/>
        <w:i/>
        <w:iCs/>
      </w:rPr>
    </w:pPr>
    <w:hyperlink r:id="rId1" w:history="1">
      <w:r w:rsidR="00515DD1" w:rsidRPr="00BE717C">
        <w:rPr>
          <w:rFonts w:asciiTheme="majorBidi" w:hAnsiTheme="majorBidi" w:cstheme="majorBidi"/>
          <w:b/>
          <w:bCs/>
          <w:i/>
          <w:iCs/>
          <w:color w:val="000099"/>
        </w:rPr>
        <w:t>Louanjli</w:t>
      </w:r>
    </w:hyperlink>
    <w:r w:rsidR="00515DD1" w:rsidRPr="00BE717C">
      <w:rPr>
        <w:rFonts w:asciiTheme="majorBidi" w:hAnsiTheme="majorBidi" w:cstheme="majorBidi"/>
        <w:b/>
        <w:bCs/>
        <w:i/>
        <w:iCs/>
        <w:color w:val="000099"/>
      </w:rPr>
      <w:t xml:space="preserve"> et al.</w:t>
    </w:r>
    <w:r w:rsidR="00515DD1" w:rsidRPr="00BE717C">
      <w:rPr>
        <w:rFonts w:asciiTheme="majorBidi" w:hAnsiTheme="majorBidi" w:cstheme="majorBidi"/>
        <w:b/>
        <w:bCs/>
        <w:i/>
        <w:iCs/>
        <w:color w:val="002060"/>
      </w:rPr>
      <w:tab/>
    </w:r>
    <w:r w:rsidR="00515DD1" w:rsidRPr="00BE717C">
      <w:rPr>
        <w:rFonts w:asciiTheme="majorBidi" w:hAnsiTheme="majorBidi" w:cstheme="majorBidi"/>
        <w:b/>
        <w:bCs/>
        <w:i/>
        <w:iCs/>
      </w:rPr>
      <w:t xml:space="preserve">                              </w:t>
    </w:r>
    <w:r w:rsidR="00515DD1">
      <w:rPr>
        <w:rFonts w:asciiTheme="majorBidi" w:hAnsiTheme="majorBidi" w:cstheme="majorBidi"/>
        <w:b/>
        <w:bCs/>
        <w:i/>
        <w:iCs/>
      </w:rPr>
      <w:t xml:space="preserve">      </w:t>
    </w:r>
    <w:r w:rsidR="00515DD1" w:rsidRPr="00BE717C">
      <w:rPr>
        <w:rFonts w:asciiTheme="majorBidi" w:hAnsiTheme="majorBidi" w:cstheme="majorBidi"/>
        <w:b/>
        <w:bCs/>
        <w:i/>
        <w:iCs/>
      </w:rPr>
      <w:t xml:space="preserve">    </w:t>
    </w:r>
    <w:r w:rsidR="00515DD1">
      <w:rPr>
        <w:rFonts w:asciiTheme="majorBidi" w:hAnsiTheme="majorBidi" w:cstheme="majorBidi"/>
        <w:b/>
        <w:bCs/>
        <w:i/>
        <w:iCs/>
      </w:rPr>
      <w:t xml:space="preserve">                                                                                                  </w:t>
    </w:r>
    <w:r w:rsidR="00515DD1" w:rsidRPr="00BE717C">
      <w:rPr>
        <w:rFonts w:asciiTheme="majorBidi" w:hAnsiTheme="majorBidi" w:cstheme="majorBidi"/>
        <w:i/>
        <w:iCs/>
      </w:rPr>
      <w:t>Natural Built Social Environment Health</w:t>
    </w:r>
    <w:r w:rsidR="00515DD1" w:rsidRPr="00BE717C">
      <w:rPr>
        <w:rFonts w:asciiTheme="majorBidi" w:hAnsiTheme="majorBidi" w:cstheme="majorBidi"/>
      </w:rPr>
      <w:t xml:space="preserve"> </w:t>
    </w:r>
    <w:r w:rsidR="00515DD1" w:rsidRPr="00BE717C">
      <w:rPr>
        <w:rFonts w:asciiTheme="majorBidi" w:hAnsiTheme="majorBidi" w:cstheme="majorBidi"/>
        <w:b/>
        <w:bCs/>
      </w:rPr>
      <w:t>2</w:t>
    </w:r>
    <w:r w:rsidR="00515DD1" w:rsidRPr="00BE717C">
      <w:rPr>
        <w:rFonts w:asciiTheme="majorBidi" w:hAnsiTheme="majorBidi" w:cstheme="majorBidi"/>
      </w:rPr>
      <w:t>(2) 2026 : 78-103</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C6902" w14:textId="50934C7E" w:rsidR="00D30904" w:rsidRPr="00A662D8" w:rsidRDefault="00D30904" w:rsidP="00515DD1">
    <w:pPr>
      <w:pBdr>
        <w:bottom w:val="single" w:sz="8" w:space="1" w:color="002060"/>
      </w:pBdr>
      <w:ind w:right="49"/>
      <w:rPr>
        <w:rFonts w:ascii="Times New Roman" w:hAnsi="Times New Roman" w:cs="Times New Roman"/>
        <w:i/>
        <w:iCs/>
        <w:sz w:val="20"/>
        <w:szCs w:val="20"/>
      </w:rPr>
    </w:pPr>
    <w:r w:rsidRPr="00A662D8">
      <w:rPr>
        <w:rFonts w:ascii="Times New Roman" w:hAnsi="Times New Roman" w:cs="Times New Roman"/>
        <w:b/>
        <w:bCs/>
        <w:i/>
        <w:iCs/>
        <w:color w:val="002060"/>
        <w:sz w:val="20"/>
        <w:szCs w:val="20"/>
      </w:rPr>
      <w:t>Louanjli et al.</w:t>
    </w:r>
    <w:r w:rsidRPr="00A662D8">
      <w:rPr>
        <w:rFonts w:ascii="Times New Roman" w:hAnsi="Times New Roman" w:cs="Times New Roman"/>
        <w:b/>
        <w:bCs/>
        <w:i/>
        <w:iCs/>
        <w:color w:val="002060"/>
        <w:sz w:val="20"/>
        <w:szCs w:val="20"/>
      </w:rPr>
      <w:tab/>
    </w:r>
    <w:r w:rsidRPr="00A662D8">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w:t>
    </w:r>
    <w:r w:rsidRPr="00A662D8">
      <w:rPr>
        <w:rFonts w:ascii="Times New Roman" w:hAnsi="Times New Roman" w:cs="Times New Roman"/>
        <w:b/>
        <w:bCs/>
        <w:i/>
        <w:iCs/>
        <w:sz w:val="20"/>
        <w:szCs w:val="20"/>
      </w:rPr>
      <w:t xml:space="preserve"> </w:t>
    </w:r>
    <w:r w:rsidRPr="00A662D8">
      <w:rPr>
        <w:rFonts w:ascii="Times New Roman" w:hAnsi="Times New Roman" w:cs="Times New Roman"/>
        <w:i/>
        <w:iCs/>
        <w:sz w:val="20"/>
        <w:szCs w:val="20"/>
      </w:rPr>
      <w:t>Natural Built Social Environment Health</w:t>
    </w:r>
    <w:r w:rsidRPr="00A662D8">
      <w:rPr>
        <w:rFonts w:ascii="Times New Roman" w:hAnsi="Times New Roman" w:cs="Times New Roman"/>
        <w:sz w:val="20"/>
        <w:szCs w:val="20"/>
      </w:rPr>
      <w:t xml:space="preserve"> </w:t>
    </w:r>
    <w:r w:rsidRPr="00A662D8">
      <w:rPr>
        <w:rFonts w:ascii="Times New Roman" w:hAnsi="Times New Roman" w:cs="Times New Roman"/>
        <w:b/>
        <w:bCs/>
        <w:sz w:val="20"/>
        <w:szCs w:val="20"/>
      </w:rPr>
      <w:t>2</w:t>
    </w:r>
    <w:r w:rsidRPr="00A662D8">
      <w:rPr>
        <w:rFonts w:ascii="Times New Roman" w:hAnsi="Times New Roman" w:cs="Times New Roman"/>
        <w:sz w:val="20"/>
        <w:szCs w:val="20"/>
      </w:rPr>
      <w:t>(2) 202</w:t>
    </w:r>
    <w:r>
      <w:rPr>
        <w:rFonts w:ascii="Times New Roman" w:hAnsi="Times New Roman" w:cs="Times New Roman"/>
        <w:sz w:val="20"/>
        <w:szCs w:val="20"/>
      </w:rPr>
      <w:t>6</w:t>
    </w:r>
    <w:r w:rsidR="00515DD1">
      <w:rPr>
        <w:rFonts w:ascii="Times New Roman" w:hAnsi="Times New Roman" w:cs="Times New Roman"/>
        <w:sz w:val="20"/>
        <w:szCs w:val="20"/>
      </w:rPr>
      <w:t> : 78-103</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229C8" w14:textId="6272BAA8" w:rsidR="00D30904" w:rsidRPr="00A662D8" w:rsidRDefault="00D30904" w:rsidP="00515DD1">
    <w:pPr>
      <w:pBdr>
        <w:bottom w:val="single" w:sz="8" w:space="1" w:color="002060"/>
      </w:pBdr>
      <w:ind w:right="49"/>
      <w:rPr>
        <w:rFonts w:ascii="Times New Roman" w:hAnsi="Times New Roman" w:cs="Times New Roman"/>
        <w:i/>
        <w:iCs/>
        <w:sz w:val="20"/>
        <w:szCs w:val="20"/>
      </w:rPr>
    </w:pPr>
    <w:r>
      <w:rPr>
        <w:rFonts w:ascii="Times New Roman" w:hAnsi="Times New Roman" w:cs="Times New Roman"/>
        <w:b/>
        <w:bCs/>
        <w:i/>
        <w:iCs/>
        <w:color w:val="002060"/>
        <w:sz w:val="20"/>
        <w:szCs w:val="20"/>
      </w:rPr>
      <w:t xml:space="preserve"> </w:t>
    </w:r>
    <w:r w:rsidRPr="00A662D8">
      <w:rPr>
        <w:rFonts w:ascii="Times New Roman" w:hAnsi="Times New Roman" w:cs="Times New Roman"/>
        <w:b/>
        <w:bCs/>
        <w:i/>
        <w:iCs/>
        <w:color w:val="002060"/>
        <w:sz w:val="20"/>
        <w:szCs w:val="20"/>
      </w:rPr>
      <w:t>Louanjli et al.</w:t>
    </w:r>
    <w:r w:rsidRPr="00A662D8">
      <w:rPr>
        <w:rFonts w:ascii="Times New Roman" w:hAnsi="Times New Roman" w:cs="Times New Roman"/>
        <w:b/>
        <w:bCs/>
        <w:i/>
        <w:iCs/>
        <w:color w:val="002060"/>
        <w:sz w:val="20"/>
        <w:szCs w:val="20"/>
      </w:rPr>
      <w:tab/>
    </w:r>
    <w:r w:rsidRPr="00A662D8">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w:t>
    </w:r>
    <w:r w:rsidRPr="00A662D8">
      <w:rPr>
        <w:rFonts w:ascii="Times New Roman" w:hAnsi="Times New Roman" w:cs="Times New Roman"/>
        <w:i/>
        <w:iCs/>
        <w:sz w:val="20"/>
        <w:szCs w:val="20"/>
      </w:rPr>
      <w:t>Natural Built Social Environment Health</w:t>
    </w:r>
    <w:r w:rsidRPr="00A662D8">
      <w:rPr>
        <w:rFonts w:ascii="Times New Roman" w:hAnsi="Times New Roman" w:cs="Times New Roman"/>
        <w:sz w:val="20"/>
        <w:szCs w:val="20"/>
      </w:rPr>
      <w:t xml:space="preserve"> </w:t>
    </w:r>
    <w:r w:rsidRPr="00A662D8">
      <w:rPr>
        <w:rFonts w:ascii="Times New Roman" w:hAnsi="Times New Roman" w:cs="Times New Roman"/>
        <w:b/>
        <w:bCs/>
        <w:sz w:val="20"/>
        <w:szCs w:val="20"/>
      </w:rPr>
      <w:t>2</w:t>
    </w:r>
    <w:r w:rsidRPr="00A662D8">
      <w:rPr>
        <w:rFonts w:ascii="Times New Roman" w:hAnsi="Times New Roman" w:cs="Times New Roman"/>
        <w:sz w:val="20"/>
        <w:szCs w:val="20"/>
      </w:rPr>
      <w:t>(1) 2026</w:t>
    </w:r>
    <w:r w:rsidR="00515DD1">
      <w:rPr>
        <w:rFonts w:ascii="Times New Roman" w:hAnsi="Times New Roman" w:cs="Times New Roman"/>
        <w:sz w:val="20"/>
        <w:szCs w:val="20"/>
      </w:rPr>
      <w:t> : 78-103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58BE"/>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D9828A7"/>
    <w:multiLevelType w:val="multilevel"/>
    <w:tmpl w:val="FFFFFFFF"/>
    <w:lvl w:ilvl="0">
      <w:start w:val="1"/>
      <w:numFmt w:val="decimal"/>
      <w:lvlText w:val="[%1] "/>
      <w:lvlJc w:val="left"/>
      <w:pPr>
        <w:ind w:left="720" w:hanging="360"/>
      </w:pPr>
      <w:rPr>
        <w:i w:val="0"/>
        <w:i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260730"/>
    <w:multiLevelType w:val="multilevel"/>
    <w:tmpl w:val="FFFFFFFF"/>
    <w:lvl w:ilvl="0">
      <w:start w:val="1"/>
      <w:numFmt w:val="upperRoman"/>
      <w:lvlText w:val="%1."/>
      <w:lvlJc w:val="right"/>
      <w:pPr>
        <w:ind w:left="720" w:hanging="360"/>
      </w:pPr>
    </w:lvl>
    <w:lvl w:ilvl="1">
      <w:start w:val="1"/>
      <w:numFmt w:val="upperRoman"/>
      <w:lvlText w:val="%2."/>
      <w:lvlJc w:val="righ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TrueTypeFonts/>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7F7"/>
    <w:rsid w:val="000728A5"/>
    <w:rsid w:val="00094369"/>
    <w:rsid w:val="000B4AC8"/>
    <w:rsid w:val="001018F6"/>
    <w:rsid w:val="00141F84"/>
    <w:rsid w:val="00175B2C"/>
    <w:rsid w:val="00185998"/>
    <w:rsid w:val="001C5ADC"/>
    <w:rsid w:val="001F5CBD"/>
    <w:rsid w:val="0021685C"/>
    <w:rsid w:val="0022172F"/>
    <w:rsid w:val="002314DD"/>
    <w:rsid w:val="00241AB9"/>
    <w:rsid w:val="00277C1A"/>
    <w:rsid w:val="002D2141"/>
    <w:rsid w:val="002F2118"/>
    <w:rsid w:val="0036194E"/>
    <w:rsid w:val="00361968"/>
    <w:rsid w:val="00375ECA"/>
    <w:rsid w:val="003B18E7"/>
    <w:rsid w:val="003C00D0"/>
    <w:rsid w:val="003C27C0"/>
    <w:rsid w:val="003E0761"/>
    <w:rsid w:val="003E6A5C"/>
    <w:rsid w:val="003E6B4F"/>
    <w:rsid w:val="003F19CF"/>
    <w:rsid w:val="003F2CFA"/>
    <w:rsid w:val="003F6C76"/>
    <w:rsid w:val="00460037"/>
    <w:rsid w:val="004725D2"/>
    <w:rsid w:val="00473BD7"/>
    <w:rsid w:val="004D13BB"/>
    <w:rsid w:val="004D4C89"/>
    <w:rsid w:val="004E59CC"/>
    <w:rsid w:val="00500176"/>
    <w:rsid w:val="00515DD1"/>
    <w:rsid w:val="00572A55"/>
    <w:rsid w:val="005C6258"/>
    <w:rsid w:val="006329FA"/>
    <w:rsid w:val="00670B9C"/>
    <w:rsid w:val="006A0281"/>
    <w:rsid w:val="006B7EB2"/>
    <w:rsid w:val="006E5D67"/>
    <w:rsid w:val="006E6C8A"/>
    <w:rsid w:val="00723724"/>
    <w:rsid w:val="00763731"/>
    <w:rsid w:val="007A30CE"/>
    <w:rsid w:val="007C27F7"/>
    <w:rsid w:val="00831243"/>
    <w:rsid w:val="00844313"/>
    <w:rsid w:val="00855E27"/>
    <w:rsid w:val="0087494A"/>
    <w:rsid w:val="008B4EE7"/>
    <w:rsid w:val="008F303B"/>
    <w:rsid w:val="00902F92"/>
    <w:rsid w:val="00931C75"/>
    <w:rsid w:val="009430C4"/>
    <w:rsid w:val="00A41EDE"/>
    <w:rsid w:val="00A557B5"/>
    <w:rsid w:val="00A662D8"/>
    <w:rsid w:val="00A9700D"/>
    <w:rsid w:val="00BE717C"/>
    <w:rsid w:val="00BF79E3"/>
    <w:rsid w:val="00C66A68"/>
    <w:rsid w:val="00C8564E"/>
    <w:rsid w:val="00C93BBB"/>
    <w:rsid w:val="00CA044F"/>
    <w:rsid w:val="00CB6756"/>
    <w:rsid w:val="00CC49DD"/>
    <w:rsid w:val="00CF07B0"/>
    <w:rsid w:val="00D30904"/>
    <w:rsid w:val="00D36CDF"/>
    <w:rsid w:val="00DC2B6F"/>
    <w:rsid w:val="00DC5285"/>
    <w:rsid w:val="00E439FA"/>
    <w:rsid w:val="00E668F8"/>
    <w:rsid w:val="00E9770E"/>
    <w:rsid w:val="00F7739E"/>
    <w:rsid w:val="00F85C5B"/>
    <w:rsid w:val="00FB1A00"/>
    <w:rsid w:val="00FD58E1"/>
    <w:rsid w:val="00FE6380"/>
    <w:rsid w:val="00FF126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7F294"/>
  <w15:docId w15:val="{F5AF3B05-7631-DF40-8FD2-0EAFE4E6F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uiPriority w:val="9"/>
    <w:qFormat/>
    <w:pPr>
      <w:keepNext/>
      <w:spacing w:before="240" w:after="60" w:line="240" w:lineRule="auto"/>
      <w:jc w:val="center"/>
      <w:outlineLvl w:val="0"/>
    </w:pPr>
    <w:rPr>
      <w:rFonts w:ascii="Times New Roman" w:eastAsia="Times New Roman" w:hAnsi="Times New Roman" w:cs="Times New Roman"/>
      <w:b/>
      <w:bCs/>
      <w:smallCaps/>
      <w:color w:val="44546A"/>
      <w:sz w:val="44"/>
      <w:szCs w:val="44"/>
    </w:rPr>
  </w:style>
  <w:style w:type="paragraph" w:styleId="Titre2">
    <w:name w:val="heading 2"/>
    <w:basedOn w:val="Normal"/>
    <w:next w:val="Normal"/>
    <w:uiPriority w:val="9"/>
    <w:unhideWhenUsed/>
    <w:qFormat/>
    <w:pPr>
      <w:keepNext/>
      <w:spacing w:before="40" w:after="0" w:line="240" w:lineRule="auto"/>
      <w:outlineLvl w:val="1"/>
    </w:pPr>
    <w:rPr>
      <w:rFonts w:ascii="Times New Roman" w:eastAsia="Times New Roman" w:hAnsi="Times New Roman" w:cs="Times New Roman"/>
      <w:b/>
      <w:bCs/>
      <w:color w:val="2E75B5"/>
      <w:sz w:val="26"/>
      <w:szCs w:val="26"/>
    </w:rPr>
  </w:style>
  <w:style w:type="paragraph" w:styleId="Titre3">
    <w:name w:val="heading 3"/>
    <w:basedOn w:val="Normal"/>
    <w:next w:val="Normal"/>
    <w:uiPriority w:val="9"/>
    <w:semiHidden/>
    <w:unhideWhenUsed/>
    <w:qFormat/>
    <w:pPr>
      <w:keepNext/>
      <w:keepLines/>
      <w:spacing w:before="40" w:after="0"/>
      <w:outlineLvl w:val="2"/>
    </w:pPr>
    <w:rPr>
      <w:color w:val="1E4D78"/>
      <w:sz w:val="24"/>
      <w:szCs w:val="24"/>
    </w:rPr>
  </w:style>
  <w:style w:type="paragraph" w:styleId="Titre4">
    <w:name w:val="heading 4"/>
    <w:basedOn w:val="Normal"/>
    <w:next w:val="Normal"/>
    <w:uiPriority w:val="9"/>
    <w:semiHidden/>
    <w:unhideWhenUsed/>
    <w:qFormat/>
    <w:pPr>
      <w:spacing w:before="60" w:after="60" w:line="360" w:lineRule="auto"/>
      <w:jc w:val="both"/>
      <w:outlineLvl w:val="3"/>
    </w:pPr>
    <w:rPr>
      <w:rFonts w:ascii="Times New Roman" w:eastAsia="Times New Roman" w:hAnsi="Times New Roman" w:cs="Times New Roman"/>
      <w:b/>
      <w:bCs/>
      <w:color w:val="1F4E79"/>
      <w:sz w:val="26"/>
      <w:szCs w:val="26"/>
    </w:rPr>
  </w:style>
  <w:style w:type="paragraph" w:styleId="Titre5">
    <w:name w:val="heading 5"/>
    <w:basedOn w:val="Normal"/>
    <w:next w:val="Normal"/>
    <w:uiPriority w:val="9"/>
    <w:semiHidden/>
    <w:unhideWhenUsed/>
    <w:qFormat/>
    <w:pPr>
      <w:keepNext/>
      <w:keepLines/>
      <w:spacing w:before="40" w:after="0"/>
      <w:outlineLvl w:val="4"/>
    </w:pPr>
    <w:rPr>
      <w:color w:val="2E75B5"/>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before="240" w:after="360" w:line="240" w:lineRule="auto"/>
      <w:ind w:left="2552" w:firstLine="566"/>
      <w:jc w:val="center"/>
    </w:pPr>
    <w:rPr>
      <w:rFonts w:ascii="Times New Roman" w:eastAsia="Times New Roman" w:hAnsi="Times New Roman" w:cs="Times New Roman"/>
      <w:b/>
      <w:bCs/>
      <w:smallCaps/>
      <w:sz w:val="32"/>
      <w:szCs w:val="3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Pieddepage">
    <w:name w:val="footer"/>
    <w:basedOn w:val="Normal"/>
    <w:link w:val="PieddepageCar"/>
    <w:uiPriority w:val="99"/>
    <w:unhideWhenUsed/>
    <w:rsid w:val="00A662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62D8"/>
  </w:style>
  <w:style w:type="character" w:styleId="Lienhypertexte">
    <w:name w:val="Hyperlink"/>
    <w:basedOn w:val="Policepardfaut"/>
    <w:uiPriority w:val="99"/>
    <w:unhideWhenUsed/>
    <w:rsid w:val="00D30904"/>
    <w:rPr>
      <w:color w:val="0000FF"/>
      <w:u w:val="single"/>
    </w:rPr>
  </w:style>
  <w:style w:type="paragraph" w:customStyle="1" w:styleId="Normal1">
    <w:name w:val="Normal1"/>
    <w:rsid w:val="00277C1A"/>
    <w:rPr>
      <w:lang w:val="ru-RU" w:eastAsia="ru-RU"/>
    </w:rPr>
  </w:style>
  <w:style w:type="paragraph" w:customStyle="1" w:styleId="affiliation">
    <w:name w:val="affiliation"/>
    <w:basedOn w:val="Normal"/>
    <w:next w:val="Normal"/>
    <w:rsid w:val="000728A5"/>
    <w:pPr>
      <w:overflowPunct w:val="0"/>
      <w:autoSpaceDE w:val="0"/>
      <w:autoSpaceDN w:val="0"/>
      <w:adjustRightInd w:val="0"/>
      <w:spacing w:before="120" w:after="0" w:line="240" w:lineRule="auto"/>
      <w:jc w:val="lowKashida"/>
      <w:textAlignment w:val="baseline"/>
    </w:pPr>
    <w:rPr>
      <w:rFonts w:ascii="Times New Roman" w:eastAsia="Times New Roman" w:hAnsi="Times New Roman" w:cs="Times New Roman"/>
      <w:i/>
      <w:sz w:val="20"/>
      <w:szCs w:val="20"/>
      <w:lang w:val="en-US" w:eastAsia="de-DE"/>
    </w:rPr>
  </w:style>
  <w:style w:type="character" w:styleId="Lienhypertextesuivivisit">
    <w:name w:val="FollowedHyperlink"/>
    <w:basedOn w:val="Policepardfaut"/>
    <w:uiPriority w:val="99"/>
    <w:semiHidden/>
    <w:unhideWhenUsed/>
    <w:rsid w:val="003C27C0"/>
    <w:rPr>
      <w:color w:val="800080" w:themeColor="followedHyperlink"/>
      <w:u w:val="single"/>
    </w:rPr>
  </w:style>
  <w:style w:type="paragraph" w:styleId="En-tte">
    <w:name w:val="header"/>
    <w:basedOn w:val="Normal"/>
    <w:link w:val="En-tteCar"/>
    <w:uiPriority w:val="99"/>
    <w:unhideWhenUsed/>
    <w:rsid w:val="00515DD1"/>
    <w:pPr>
      <w:tabs>
        <w:tab w:val="center" w:pos="4536"/>
        <w:tab w:val="right" w:pos="9072"/>
      </w:tabs>
      <w:spacing w:after="0" w:line="240" w:lineRule="auto"/>
    </w:pPr>
  </w:style>
  <w:style w:type="character" w:customStyle="1" w:styleId="En-tteCar">
    <w:name w:val="En-tête Car"/>
    <w:basedOn w:val="Policepardfaut"/>
    <w:link w:val="En-tte"/>
    <w:uiPriority w:val="99"/>
    <w:rsid w:val="00515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collectivites-territoriales.gov.ma/sites/default/files/pnct/2020-12/REMAGDU_Essais%20de%20caracte%CC%81risation-.pdf" TargetMode="External"/><Relationship Id="rId21" Type="http://schemas.openxmlformats.org/officeDocument/2006/relationships/hyperlink" Target="https://orcid.org/0009-0004-4591-8269" TargetMode="External"/><Relationship Id="rId42" Type="http://schemas.openxmlformats.org/officeDocument/2006/relationships/hyperlink" Target="https://orcid.org/0009-0004-4591-8269" TargetMode="External"/><Relationship Id="rId47" Type="http://schemas.openxmlformats.org/officeDocument/2006/relationships/hyperlink" Target="mailto:b.bahlaouan@ispitscasa.ac.ma" TargetMode="External"/><Relationship Id="rId63" Type="http://schemas.openxmlformats.org/officeDocument/2006/relationships/footer" Target="footer3.xml"/><Relationship Id="rId68" Type="http://schemas.openxmlformats.org/officeDocument/2006/relationships/hyperlink" Target="https://doi.org/10.17660/ActaHortic.1995.391.29" TargetMode="External"/><Relationship Id="rId84" Type="http://schemas.openxmlformats.org/officeDocument/2006/relationships/hyperlink" Target="https://www.fellah-trade.com/ressources/pdf/guide-plastiques-agricoles-fr.pdf" TargetMode="External"/><Relationship Id="rId89" Type="http://schemas.openxmlformats.org/officeDocument/2006/relationships/hyperlink" Target="https://doi.org/10.17265/2161-6264/2020.05.001" TargetMode="External"/><Relationship Id="rId112" Type="http://schemas.openxmlformats.org/officeDocument/2006/relationships/hyperlink" Target="https://doi.org/10.33422/ccgconf.v1i1.340" TargetMode="External"/><Relationship Id="rId16" Type="http://schemas.openxmlformats.org/officeDocument/2006/relationships/hyperlink" Target="https://ror.org/001q4kn48" TargetMode="External"/><Relationship Id="rId107" Type="http://schemas.openxmlformats.org/officeDocument/2006/relationships/hyperlink" Target="https://doi.org/10.21273/horttech04674-20" TargetMode="External"/><Relationship Id="rId11" Type="http://schemas.openxmlformats.org/officeDocument/2006/relationships/image" Target="media/image3.png"/><Relationship Id="rId32" Type="http://schemas.openxmlformats.org/officeDocument/2006/relationships/hyperlink" Target="mailto:f.louanjli@gmail.com" TargetMode="External"/><Relationship Id="rId37" Type="http://schemas.openxmlformats.org/officeDocument/2006/relationships/hyperlink" Target="https://orcid.org/0000-0002-1996-8607" TargetMode="External"/><Relationship Id="rId53" Type="http://schemas.openxmlformats.org/officeDocument/2006/relationships/hyperlink" Target="http://www.doi.org/10.63095/NBSEH.26.787520" TargetMode="External"/><Relationship Id="rId58" Type="http://schemas.openxmlformats.org/officeDocument/2006/relationships/header" Target="header1.xml"/><Relationship Id="rId74" Type="http://schemas.openxmlformats.org/officeDocument/2006/relationships/hyperlink" Target="https://www.trade.gov/country-commercial-guides/morocco-agricultural-sector" TargetMode="External"/><Relationship Id="rId79" Type="http://schemas.openxmlformats.org/officeDocument/2006/relationships/hyperlink" Target="https://lematin.ma/economie/vision-agricole-2050-la-nouvelle-strategie-du-royaume-pour-lagriculture/303913?utm_source=chatgpt.com" TargetMode="External"/><Relationship Id="rId102" Type="http://schemas.openxmlformats.org/officeDocument/2006/relationships/hyperlink" Target="https://doi.org/10.1186/s40538-020-00201-8" TargetMode="External"/><Relationship Id="rId123" Type="http://schemas.openxmlformats.org/officeDocument/2006/relationships/hyperlink" Target="https://doi.org/10.3390/su15086713" TargetMode="External"/><Relationship Id="rId128" Type="http://schemas.openxmlformats.org/officeDocument/2006/relationships/header" Target="header6.xml"/><Relationship Id="rId5" Type="http://schemas.openxmlformats.org/officeDocument/2006/relationships/footnotes" Target="footnotes.xml"/><Relationship Id="rId90" Type="http://schemas.openxmlformats.org/officeDocument/2006/relationships/hyperlink" Target="https://doi.org/10.4060/cd1254fr" TargetMode="External"/><Relationship Id="rId95" Type="http://schemas.openxmlformats.org/officeDocument/2006/relationships/hyperlink" Target="https://siredd.environnement.gov.ma/Souss-Massa/Files/Documents/0_Etat-des-lieux%20Dechets-platiques-agricoles-SM.pdf" TargetMode="External"/><Relationship Id="rId22" Type="http://schemas.openxmlformats.org/officeDocument/2006/relationships/hyperlink" Target="https://ror.org/001q4kn48" TargetMode="External"/><Relationship Id="rId27" Type="http://schemas.openxmlformats.org/officeDocument/2006/relationships/hyperlink" Target="https://ror.org/001q4kn48" TargetMode="External"/><Relationship Id="rId43" Type="http://schemas.openxmlformats.org/officeDocument/2006/relationships/hyperlink" Target="mailto:ikramegp2017@gmail.com" TargetMode="External"/><Relationship Id="rId48" Type="http://schemas.openxmlformats.org/officeDocument/2006/relationships/hyperlink" Target="https://orcid.org/0000-0003-1628-4311" TargetMode="External"/><Relationship Id="rId64" Type="http://schemas.openxmlformats.org/officeDocument/2006/relationships/image" Target="media/image11.jpg"/><Relationship Id="rId69" Type="http://schemas.openxmlformats.org/officeDocument/2006/relationships/hyperlink" Target="https://doi.org/10.3390/rel12050317" TargetMode="External"/><Relationship Id="rId113" Type="http://schemas.openxmlformats.org/officeDocument/2006/relationships/hyperlink" Target="https://revues.imist.ma/index.php/REMAREM/article/download/3534/2562" TargetMode="External"/><Relationship Id="rId118" Type="http://schemas.openxmlformats.org/officeDocument/2006/relationships/hyperlink" Target="https://www.collectivites-territoriales.gov.ma/sites/default/files/2021-05/D%C3%A9cret%20pris%20pour%20l%27application%20de%20certaine%20dispositions%20de%20la%20n%C2%B0%2077.15%20portant%20interdiction%20de%20la%20fabrication.pdf" TargetMode="External"/><Relationship Id="rId80" Type="http://schemas.openxmlformats.org/officeDocument/2006/relationships/hyperlink" Target="https://www.agrimaroc.ma/une-vision-agricole-2050-pour-anticiper-les-defis-du-siecle/" TargetMode="External"/><Relationship Id="rId85" Type="http://schemas.openxmlformats.org/officeDocument/2006/relationships/hyperlink" Target="https://doi.org/10.1155/2021/9727004" TargetMode="External"/><Relationship Id="rId12" Type="http://schemas.openxmlformats.org/officeDocument/2006/relationships/hyperlink" Target="https://ror.org/001q4kn48" TargetMode="External"/><Relationship Id="rId17" Type="http://schemas.openxmlformats.org/officeDocument/2006/relationships/hyperlink" Target="https://orcid.org/0000-0002-1996-8607" TargetMode="External"/><Relationship Id="rId33" Type="http://schemas.openxmlformats.org/officeDocument/2006/relationships/hyperlink" Target="https://orcid.org/0000-0002-9884-8119" TargetMode="External"/><Relationship Id="rId38" Type="http://schemas.openxmlformats.org/officeDocument/2006/relationships/hyperlink" Target="mailto:fatima.boutaleb2-etu@etu.univh2c.ma" TargetMode="External"/><Relationship Id="rId59" Type="http://schemas.openxmlformats.org/officeDocument/2006/relationships/header" Target="header2.xml"/><Relationship Id="rId103" Type="http://schemas.openxmlformats.org/officeDocument/2006/relationships/hyperlink" Target="https://doi.org/10.1051/forest:19800305" TargetMode="External"/><Relationship Id="rId108" Type="http://schemas.openxmlformats.org/officeDocument/2006/relationships/hyperlink" Target="https://journals.ashs.org/downloadpdf/view/journals/hortsci/32/4/article-p600D.pdf" TargetMode="External"/><Relationship Id="rId124" Type="http://schemas.openxmlformats.org/officeDocument/2006/relationships/hyperlink" Target="https://thedocs.worldbank.org/en/doc/832824cefe5b2754040b275e545aa085-0280012024/original/Maghreb-Technical-Note-10.pdf?utm_source=chatgpt.com" TargetMode="External"/><Relationship Id="rId129" Type="http://schemas.openxmlformats.org/officeDocument/2006/relationships/fontTable" Target="fontTable.xml"/><Relationship Id="rId54" Type="http://schemas.openxmlformats.org/officeDocument/2006/relationships/image" Target="media/image7.jpg"/><Relationship Id="rId70" Type="http://schemas.openxmlformats.org/officeDocument/2006/relationships/hyperlink" Target="https://www.bnf.fr/sites/default/files/2023-05/Bibliographie%20_%20Mara%C3%AEchage%20_%20Avril%202023.pdf?utm_source=chatgpt.com" TargetMode="External"/><Relationship Id="rId75" Type="http://schemas.openxmlformats.org/officeDocument/2006/relationships/hyperlink" Target="http://amsdottorato.unibo.it/5918/" TargetMode="External"/><Relationship Id="rId91" Type="http://schemas.openxmlformats.org/officeDocument/2006/relationships/hyperlink" Target="https://www.banquemondiale.org/fr/topic/agriculture/brief/food-security-update" TargetMode="External"/><Relationship Id="rId96" Type="http://schemas.openxmlformats.org/officeDocument/2006/relationships/hyperlink" Target="https://doi.org/10.1016/s0014-3057(03)00109-5"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orcid.org/0009-0002-2682-2478" TargetMode="External"/><Relationship Id="rId28" Type="http://schemas.openxmlformats.org/officeDocument/2006/relationships/hyperlink" Target="mailto:nadia.boutaleb@fstm.ac.ma" TargetMode="External"/><Relationship Id="rId49" Type="http://schemas.openxmlformats.org/officeDocument/2006/relationships/hyperlink" Target="mailto:nadia.boutaleb@fstm.ac.ma" TargetMode="External"/><Relationship Id="rId114" Type="http://schemas.openxmlformats.org/officeDocument/2006/relationships/hyperlink" Target="https://ijafame.org/index.php/ijafame/article/view/1923" TargetMode="External"/><Relationship Id="rId119" Type="http://schemas.openxmlformats.org/officeDocument/2006/relationships/hyperlink" Target="https://leseco.ma/maroc/souss-massa-en-quete-de-financements-pour-la-valorisation-des-dechets-plastiques-agricoles.html" TargetMode="External"/><Relationship Id="rId44" Type="http://schemas.openxmlformats.org/officeDocument/2006/relationships/hyperlink" Target="https://orcid.org/0009-0002-2682-2478" TargetMode="External"/><Relationship Id="rId60" Type="http://schemas.openxmlformats.org/officeDocument/2006/relationships/footer" Target="footer1.xml"/><Relationship Id="rId65" Type="http://schemas.openxmlformats.org/officeDocument/2006/relationships/image" Target="media/image12.jpg"/><Relationship Id="rId81" Type="http://schemas.openxmlformats.org/officeDocument/2006/relationships/hyperlink" Target="https://www.hcp.ma/Budget-economique-previsionnel-2024_a3807.html" TargetMode="External"/><Relationship Id="rId86" Type="http://schemas.openxmlformats.org/officeDocument/2006/relationships/hyperlink" Target="https://doi.org/10.3390/w15112120" TargetMode="External"/><Relationship Id="rId130" Type="http://schemas.openxmlformats.org/officeDocument/2006/relationships/theme" Target="theme/theme1.xml"/><Relationship Id="rId13" Type="http://schemas.openxmlformats.org/officeDocument/2006/relationships/hyperlink" Target="https://orcid.org/0000-0002-9884-8119" TargetMode="External"/><Relationship Id="rId18" Type="http://schemas.openxmlformats.org/officeDocument/2006/relationships/hyperlink" Target="https://ror.org/001q4kn48" TargetMode="External"/><Relationship Id="rId39" Type="http://schemas.openxmlformats.org/officeDocument/2006/relationships/hyperlink" Target="https://orcid.org/0009-0001-1921-3159" TargetMode="External"/><Relationship Id="rId109" Type="http://schemas.openxmlformats.org/officeDocument/2006/relationships/hyperlink" Target="https://extension.okstate.edu/fact-sheets/use-of-plastic-mulch-and-row-covers-in-vegetable-production.html" TargetMode="External"/><Relationship Id="rId34" Type="http://schemas.openxmlformats.org/officeDocument/2006/relationships/hyperlink" Target="mailto:ghita.radibenjelloun@etu.fstm.ac.ma" TargetMode="External"/><Relationship Id="rId50" Type="http://schemas.openxmlformats.org/officeDocument/2006/relationships/hyperlink" Target="https://orcid.org/0000-0003-1628-4311" TargetMode="External"/><Relationship Id="rId55" Type="http://schemas.openxmlformats.org/officeDocument/2006/relationships/image" Target="media/image8.jpg"/><Relationship Id="rId76" Type="http://schemas.openxmlformats.org/officeDocument/2006/relationships/hyperlink" Target="https://www.inter-reseaux.org/wp-content/uploads/bds_no20_plan_maroc_vert_en.pdf?utm_source=chatgpt.com" TargetMode="External"/><Relationship Id="rId97" Type="http://schemas.openxmlformats.org/officeDocument/2006/relationships/hyperlink" Target="https://doi.org/10.1080/00207233.2024.2368443" TargetMode="External"/><Relationship Id="rId104" Type="http://schemas.openxmlformats.org/officeDocument/2006/relationships/hyperlink" Target="https://hal.science/hal-03555844/document" TargetMode="External"/><Relationship Id="rId120" Type="http://schemas.openxmlformats.org/officeDocument/2006/relationships/hyperlink" Target="https://doi.org/10.1016/j.sciaf.2023.e01991" TargetMode="External"/><Relationship Id="rId125" Type="http://schemas.openxmlformats.org/officeDocument/2006/relationships/hyperlink" Target="https://doi.org/10.48374/IMIST.PRSM/ame-v3i1.24906" TargetMode="External"/><Relationship Id="rId7" Type="http://schemas.openxmlformats.org/officeDocument/2006/relationships/image" Target="media/image1.png"/><Relationship Id="rId71" Type="http://schemas.openxmlformats.org/officeDocument/2006/relationships/hyperlink" Target="https://doi.org/10.1017/CBO9780511607967" TargetMode="External"/><Relationship Id="rId92" Type="http://schemas.openxmlformats.org/officeDocument/2006/relationships/hyperlink" Target="https://doi.org/10.5281/zenodo.14287712" TargetMode="External"/><Relationship Id="rId2" Type="http://schemas.openxmlformats.org/officeDocument/2006/relationships/styles" Target="styles.xml"/><Relationship Id="rId29" Type="http://schemas.openxmlformats.org/officeDocument/2006/relationships/image" Target="media/image5.png"/><Relationship Id="rId24" Type="http://schemas.openxmlformats.org/officeDocument/2006/relationships/image" Target="media/image4.png"/><Relationship Id="rId40" Type="http://schemas.openxmlformats.org/officeDocument/2006/relationships/hyperlink" Target="mailto:rajaa.tesse-etu@etu.univh2c.ma" TargetMode="External"/><Relationship Id="rId45" Type="http://schemas.openxmlformats.org/officeDocument/2006/relationships/hyperlink" Target="mailto:meriem.mahmoudi2-etu@etu.univh2c.ma" TargetMode="External"/><Relationship Id="rId66" Type="http://schemas.openxmlformats.org/officeDocument/2006/relationships/image" Target="media/image13.jpg"/><Relationship Id="rId87" Type="http://schemas.openxmlformats.org/officeDocument/2006/relationships/hyperlink" Target="https://doi.org/10.1007/978-3-031-35248-5_64" TargetMode="External"/><Relationship Id="rId110" Type="http://schemas.openxmlformats.org/officeDocument/2006/relationships/hyperlink" Target="https://www.hcp.ma/file/242665/" TargetMode="External"/><Relationship Id="rId115" Type="http://schemas.openxmlformats.org/officeDocument/2006/relationships/hyperlink" Target="https://doi.org/10.19044/esj.2022.v18n25p73" TargetMode="External"/><Relationship Id="rId61" Type="http://schemas.openxmlformats.org/officeDocument/2006/relationships/footer" Target="footer2.xml"/><Relationship Id="rId82" Type="http://schemas.openxmlformats.org/officeDocument/2006/relationships/hyperlink" Target="https://doi.org/10.1016/j.coesh.2020.10.011" TargetMode="External"/><Relationship Id="rId19" Type="http://schemas.openxmlformats.org/officeDocument/2006/relationships/hyperlink" Target="https://orcid.org/0009-0001-1921-3159" TargetMode="External"/><Relationship Id="rId14" Type="http://schemas.openxmlformats.org/officeDocument/2006/relationships/hyperlink" Target="https://ror.org/001q4kn48" TargetMode="External"/><Relationship Id="rId30" Type="http://schemas.openxmlformats.org/officeDocument/2006/relationships/hyperlink" Target="https://ror.org/007h8y788" TargetMode="External"/><Relationship Id="rId35" Type="http://schemas.openxmlformats.org/officeDocument/2006/relationships/hyperlink" Target="https://orcid.org/0000-0001-9820-2265" TargetMode="External"/><Relationship Id="rId56" Type="http://schemas.openxmlformats.org/officeDocument/2006/relationships/image" Target="media/image9.jpg"/><Relationship Id="rId77" Type="http://schemas.openxmlformats.org/officeDocument/2006/relationships/hyperlink" Target="https://documents1.worldbank.org/curated/en/245801608346893390/pdf/Morocco-Green-Generation-Program-for-Results-Project.pdf?utm_source=chatgpt.com" TargetMode="External"/><Relationship Id="rId100" Type="http://schemas.openxmlformats.org/officeDocument/2006/relationships/hyperlink" Target="https://doi.org/10.5958/2230-732X.2015.00072.8" TargetMode="External"/><Relationship Id="rId105" Type="http://schemas.openxmlformats.org/officeDocument/2006/relationships/hyperlink" Target="https://ageconsearch.umn.edu/record/302940/files/W650.pdf" TargetMode="External"/><Relationship Id="rId126" Type="http://schemas.openxmlformats.org/officeDocument/2006/relationships/hyperlink" Target="https://toumali.org/system/files/document/session-2-03-current-status-of-circular-economy-and-epr-development-in-morocco.pdf" TargetMode="External"/><Relationship Id="rId8" Type="http://schemas.openxmlformats.org/officeDocument/2006/relationships/hyperlink" Target="http://www.nbseh.org" TargetMode="External"/><Relationship Id="rId51" Type="http://schemas.openxmlformats.org/officeDocument/2006/relationships/hyperlink" Target="about:blank" TargetMode="External"/><Relationship Id="rId72" Type="http://schemas.openxmlformats.org/officeDocument/2006/relationships/hyperlink" Target="https://doi.org/10.3917/arco.knitt.2024.01.0090" TargetMode="External"/><Relationship Id="rId93" Type="http://schemas.openxmlformats.org/officeDocument/2006/relationships/hyperlink" Target="https://revuesciences-techniquesburkina.org/index.php/sciences_naturelles_et_appliquee/article/view/1603" TargetMode="External"/><Relationship Id="rId98" Type="http://schemas.openxmlformats.org/officeDocument/2006/relationships/hyperlink" Target="https://cgspace.cgiar.org/bitstreams/ba48eae3-3a2c-469a-a19d-d86b13e5c64c/download" TargetMode="External"/><Relationship Id="rId121" Type="http://schemas.openxmlformats.org/officeDocument/2006/relationships/hyperlink" Target="https://doi.org/10.1016/j.rsase.2024.101158" TargetMode="External"/><Relationship Id="rId3" Type="http://schemas.openxmlformats.org/officeDocument/2006/relationships/settings" Target="settings.xml"/><Relationship Id="rId25" Type="http://schemas.openxmlformats.org/officeDocument/2006/relationships/hyperlink" Target="https://orcid.org/0000-0002-0976-1274" TargetMode="External"/><Relationship Id="rId46" Type="http://schemas.openxmlformats.org/officeDocument/2006/relationships/hyperlink" Target="https://orcid.org/0000-0002-0976-1274" TargetMode="External"/><Relationship Id="rId67" Type="http://schemas.openxmlformats.org/officeDocument/2006/relationships/header" Target="header4.xml"/><Relationship Id="rId116" Type="http://schemas.openxmlformats.org/officeDocument/2006/relationships/hyperlink" Target="https://doi.org/10.1257/jep.9.4.97" TargetMode="External"/><Relationship Id="rId20" Type="http://schemas.openxmlformats.org/officeDocument/2006/relationships/hyperlink" Target="https://ror.org/001q4kn48" TargetMode="External"/><Relationship Id="rId41" Type="http://schemas.openxmlformats.org/officeDocument/2006/relationships/hyperlink" Target="mailto:rajaa.tesse-etu@etu.univh2c.ma" TargetMode="External"/><Relationship Id="rId62" Type="http://schemas.openxmlformats.org/officeDocument/2006/relationships/header" Target="header3.xml"/><Relationship Id="rId83" Type="http://schemas.openxmlformats.org/officeDocument/2006/relationships/hyperlink" Target="https://doi.org/10.1016/j.hazadv.2025.100701" TargetMode="External"/><Relationship Id="rId88" Type="http://schemas.openxmlformats.org/officeDocument/2006/relationships/hyperlink" Target="https://doi.org/10.1684/agr.2007.0110" TargetMode="External"/><Relationship Id="rId111" Type="http://schemas.openxmlformats.org/officeDocument/2006/relationships/hyperlink" Target="https://4post2020bd.net/wp-content/uploads/2024/10/1.-Analyse-du-secteur-agricole-au-Maroc.pdf?utm_source=chatgpt.com" TargetMode="External"/><Relationship Id="rId15" Type="http://schemas.openxmlformats.org/officeDocument/2006/relationships/hyperlink" Target="https://orcid.org/0000-0001-9820-2265" TargetMode="External"/><Relationship Id="rId36" Type="http://schemas.openxmlformats.org/officeDocument/2006/relationships/hyperlink" Target="mailto:khawla.waddi@etu.fstm.ac.ma" TargetMode="External"/><Relationship Id="rId57" Type="http://schemas.openxmlformats.org/officeDocument/2006/relationships/image" Target="media/image10.jpg"/><Relationship Id="rId106" Type="http://schemas.openxmlformats.org/officeDocument/2006/relationships/hyperlink" Target="https://doi.org/10.3390/agriculture14071081" TargetMode="External"/><Relationship Id="rId127" Type="http://schemas.openxmlformats.org/officeDocument/2006/relationships/header" Target="header5.xml"/><Relationship Id="rId10" Type="http://schemas.openxmlformats.org/officeDocument/2006/relationships/hyperlink" Target="https://orcid.org/0000-0002-3482-3828" TargetMode="External"/><Relationship Id="rId31" Type="http://schemas.openxmlformats.org/officeDocument/2006/relationships/hyperlink" Target="https://orcid.org/0000-0002-3482-3828" TargetMode="External"/><Relationship Id="rId52" Type="http://schemas.openxmlformats.org/officeDocument/2006/relationships/image" Target="media/image6.jpg"/><Relationship Id="rId73" Type="http://schemas.openxmlformats.org/officeDocument/2006/relationships/hyperlink" Target="https://www.iaea.org/sites/default/files/26206882933.pdf" TargetMode="External"/><Relationship Id="rId78" Type="http://schemas.openxmlformats.org/officeDocument/2006/relationships/hyperlink" Target="https://doi.org/10.34874/IMIST.PRSM/doreg-v5i1.15224" TargetMode="External"/><Relationship Id="rId94" Type="http://schemas.openxmlformats.org/officeDocument/2006/relationships/hyperlink" Target="https://www.eea.europa.eu/en/analysis/publications/how-pesticides-impact-human-health?utm_source=chatgpt.com" TargetMode="External"/><Relationship Id="rId99" Type="http://schemas.openxmlformats.org/officeDocument/2006/relationships/hyperlink" Target="https://doi.org/10.3389/fmats.2021.774833" TargetMode="External"/><Relationship Id="rId101" Type="http://schemas.openxmlformats.org/officeDocument/2006/relationships/hyperlink" Target="https://doi.org/10.21273/hortsci13583-18" TargetMode="External"/><Relationship Id="rId122" Type="http://schemas.openxmlformats.org/officeDocument/2006/relationships/hyperlink" Target="https://www.plasticulture.com/wp-content/uploads/2025/09/Rapport-dactivite-2024-VDF.pdf" TargetMode="External"/><Relationship Id="rId4" Type="http://schemas.openxmlformats.org/officeDocument/2006/relationships/webSettings" Target="webSettings.xml"/><Relationship Id="rId9" Type="http://schemas.openxmlformats.org/officeDocument/2006/relationships/image" Target="media/image2.jpeg"/><Relationship Id="rId26" Type="http://schemas.openxmlformats.org/officeDocument/2006/relationships/hyperlink" Target="https://orcid.org/0000-0003-1628-4311"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hyperlink" Target="https://orcid.org/0000-0002-3482-3828"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www.doi.org/10.63095/NBSEH.26.787520"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orcid.org/0000-0002-3482-38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26</Pages>
  <Words>8960</Words>
  <Characters>49285</Characters>
  <Application>Microsoft Office Word</Application>
  <DocSecurity>0</DocSecurity>
  <Lines>410</Lines>
  <Paragraphs>116</Paragraphs>
  <ScaleCrop>false</ScaleCrop>
  <HeadingPairs>
    <vt:vector size="4" baseType="variant">
      <vt:variant>
        <vt:lpstr>Titre</vt:lpstr>
      </vt:variant>
      <vt:variant>
        <vt:i4>1</vt:i4>
      </vt:variant>
      <vt:variant>
        <vt:lpstr>Titres</vt:lpstr>
      </vt:variant>
      <vt:variant>
        <vt:i4>6</vt:i4>
      </vt:variant>
    </vt:vector>
  </HeadingPairs>
  <TitlesOfParts>
    <vt:vector size="7" baseType="lpstr">
      <vt:lpstr/>
      <vt:lpstr>    Type and study design</vt:lpstr>
      <vt:lpstr>    Population and sample</vt:lpstr>
      <vt:lpstr>    Data collection instrument</vt:lpstr>
      <vt:lpstr>    Results and Discussion </vt:lpstr>
      <vt:lpstr>    Analysis of the causes of non-recycling</vt:lpstr>
      <vt:lpstr>    Analysis of internal and external challenges at the national level </vt:lpstr>
    </vt:vector>
  </TitlesOfParts>
  <Company/>
  <LinksUpToDate>false</LinksUpToDate>
  <CharactersWithSpaces>58129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BOUTALEB</dc:creator>
  <cp:lastModifiedBy>NBSEH</cp:lastModifiedBy>
  <cp:revision>30</cp:revision>
  <cp:lastPrinted>2026-02-16T22:33:00Z</cp:lastPrinted>
  <dcterms:created xsi:type="dcterms:W3CDTF">2026-02-16T22:31:00Z</dcterms:created>
  <dcterms:modified xsi:type="dcterms:W3CDTF">2026-04-09T19:40:00Z</dcterms:modified>
</cp:coreProperties>
</file>